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2547A"/>
    <w:p w14:paraId="310764A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63007D3">
      <w:pPr>
        <w:spacing w:line="540" w:lineRule="exact"/>
        <w:jc w:val="center"/>
        <w:rPr>
          <w:rFonts w:ascii="华文中宋" w:hAnsi="华文中宋" w:eastAsia="华文中宋" w:cs="宋体"/>
          <w:b/>
          <w:kern w:val="0"/>
          <w:sz w:val="52"/>
          <w:szCs w:val="52"/>
        </w:rPr>
      </w:pPr>
    </w:p>
    <w:p w14:paraId="0081895C">
      <w:pPr>
        <w:spacing w:line="540" w:lineRule="exact"/>
        <w:jc w:val="center"/>
        <w:rPr>
          <w:rFonts w:ascii="华文中宋" w:hAnsi="华文中宋" w:eastAsia="华文中宋" w:cs="宋体"/>
          <w:b/>
          <w:kern w:val="0"/>
          <w:sz w:val="52"/>
          <w:szCs w:val="52"/>
        </w:rPr>
      </w:pPr>
    </w:p>
    <w:p w14:paraId="7ACC2207">
      <w:pPr>
        <w:spacing w:line="540" w:lineRule="exact"/>
        <w:jc w:val="center"/>
        <w:rPr>
          <w:rFonts w:ascii="华文中宋" w:hAnsi="华文中宋" w:eastAsia="华文中宋" w:cs="宋体"/>
          <w:b/>
          <w:kern w:val="0"/>
          <w:sz w:val="52"/>
          <w:szCs w:val="52"/>
        </w:rPr>
      </w:pPr>
    </w:p>
    <w:p w14:paraId="1BEA5420">
      <w:pPr>
        <w:spacing w:line="540" w:lineRule="exact"/>
        <w:jc w:val="center"/>
        <w:rPr>
          <w:rFonts w:ascii="华文中宋" w:hAnsi="华文中宋" w:eastAsia="华文中宋" w:cs="宋体"/>
          <w:b/>
          <w:kern w:val="0"/>
          <w:sz w:val="52"/>
          <w:szCs w:val="52"/>
        </w:rPr>
      </w:pPr>
    </w:p>
    <w:p w14:paraId="69E40DDD">
      <w:pPr>
        <w:spacing w:line="540" w:lineRule="exact"/>
        <w:jc w:val="center"/>
        <w:rPr>
          <w:rFonts w:ascii="华文中宋" w:hAnsi="华文中宋" w:eastAsia="华文中宋" w:cs="宋体"/>
          <w:b/>
          <w:kern w:val="0"/>
          <w:sz w:val="52"/>
          <w:szCs w:val="52"/>
        </w:rPr>
      </w:pPr>
    </w:p>
    <w:p w14:paraId="2D8161C0">
      <w:pPr>
        <w:spacing w:line="540" w:lineRule="exact"/>
        <w:jc w:val="center"/>
        <w:rPr>
          <w:rFonts w:ascii="华文中宋" w:hAnsi="华文中宋" w:eastAsia="华文中宋" w:cs="宋体"/>
          <w:b/>
          <w:kern w:val="0"/>
          <w:sz w:val="52"/>
          <w:szCs w:val="52"/>
        </w:rPr>
      </w:pPr>
    </w:p>
    <w:p w14:paraId="357B88F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4"/>
          <w:szCs w:val="44"/>
        </w:rPr>
        <w:t>项目支出绩效自评报告</w:t>
      </w:r>
    </w:p>
    <w:p w14:paraId="6015B703">
      <w:pPr>
        <w:spacing w:line="540" w:lineRule="exact"/>
        <w:jc w:val="center"/>
        <w:rPr>
          <w:rFonts w:ascii="华文中宋" w:hAnsi="华文中宋" w:eastAsia="华文中宋" w:cs="宋体"/>
          <w:b/>
          <w:kern w:val="0"/>
          <w:sz w:val="52"/>
          <w:szCs w:val="52"/>
        </w:rPr>
      </w:pPr>
    </w:p>
    <w:p w14:paraId="064303CB">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31BD34C8">
      <w:pPr>
        <w:spacing w:line="540" w:lineRule="exact"/>
        <w:jc w:val="center"/>
        <w:rPr>
          <w:rFonts w:hAnsi="宋体" w:eastAsia="仿宋_GB2312" w:cs="宋体"/>
          <w:kern w:val="0"/>
          <w:sz w:val="30"/>
          <w:szCs w:val="30"/>
        </w:rPr>
      </w:pPr>
    </w:p>
    <w:p w14:paraId="0056C5C9">
      <w:pPr>
        <w:spacing w:line="540" w:lineRule="exact"/>
        <w:jc w:val="center"/>
        <w:rPr>
          <w:rFonts w:hAnsi="宋体" w:eastAsia="仿宋_GB2312" w:cs="宋体"/>
          <w:kern w:val="0"/>
          <w:sz w:val="30"/>
          <w:szCs w:val="30"/>
        </w:rPr>
      </w:pPr>
    </w:p>
    <w:p w14:paraId="0EC3A03F">
      <w:pPr>
        <w:spacing w:line="540" w:lineRule="exact"/>
        <w:jc w:val="center"/>
        <w:rPr>
          <w:rFonts w:hAnsi="宋体" w:eastAsia="仿宋_GB2312" w:cs="宋体"/>
          <w:kern w:val="0"/>
          <w:sz w:val="30"/>
          <w:szCs w:val="30"/>
        </w:rPr>
      </w:pPr>
    </w:p>
    <w:p w14:paraId="53F7D7DB">
      <w:pPr>
        <w:spacing w:line="540" w:lineRule="exact"/>
        <w:jc w:val="center"/>
        <w:rPr>
          <w:rFonts w:hAnsi="宋体" w:eastAsia="仿宋_GB2312" w:cs="宋体"/>
          <w:kern w:val="0"/>
          <w:sz w:val="30"/>
          <w:szCs w:val="30"/>
        </w:rPr>
      </w:pPr>
    </w:p>
    <w:p w14:paraId="5BB2F93E">
      <w:pPr>
        <w:spacing w:line="540" w:lineRule="exact"/>
        <w:jc w:val="center"/>
        <w:rPr>
          <w:rFonts w:hAnsi="宋体" w:eastAsia="仿宋_GB2312" w:cs="宋体"/>
          <w:kern w:val="0"/>
          <w:sz w:val="30"/>
          <w:szCs w:val="30"/>
        </w:rPr>
      </w:pPr>
    </w:p>
    <w:p w14:paraId="6CD2E747">
      <w:pPr>
        <w:spacing w:line="540" w:lineRule="exact"/>
        <w:jc w:val="center"/>
        <w:rPr>
          <w:rFonts w:hAnsi="宋体" w:eastAsia="仿宋_GB2312" w:cs="宋体"/>
          <w:kern w:val="0"/>
          <w:sz w:val="30"/>
          <w:szCs w:val="30"/>
        </w:rPr>
      </w:pPr>
    </w:p>
    <w:p w14:paraId="2F007062">
      <w:pPr>
        <w:spacing w:line="700" w:lineRule="exact"/>
        <w:ind w:firstLine="960" w:firstLineChars="3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项目名称：</w:t>
      </w:r>
      <w:r>
        <w:rPr>
          <w:rStyle w:val="19"/>
          <w:rFonts w:hint="eastAsia" w:ascii="仿宋_GB2312" w:hAnsi="仿宋_GB2312" w:eastAsia="仿宋_GB2312" w:cs="仿宋_GB2312"/>
          <w:spacing w:val="-4"/>
          <w:sz w:val="32"/>
          <w:szCs w:val="32"/>
        </w:rPr>
        <w:t>卫生健康人才培养项目</w:t>
      </w:r>
    </w:p>
    <w:p w14:paraId="563E51C9">
      <w:pPr>
        <w:spacing w:line="540" w:lineRule="exact"/>
        <w:ind w:firstLine="567"/>
        <w:rPr>
          <w:rFonts w:hint="eastAsia" w:ascii="仿宋_GB2312" w:hAnsi="仿宋_GB2312" w:eastAsia="仿宋_GB2312" w:cs="仿宋_GB2312"/>
          <w:b/>
          <w:bCs/>
          <w:spacing w:val="-4"/>
          <w:sz w:val="32"/>
          <w:szCs w:val="32"/>
        </w:rPr>
      </w:pPr>
      <w:r>
        <w:rPr>
          <w:rFonts w:hint="eastAsia" w:ascii="仿宋_GB2312" w:hAnsi="仿宋_GB2312" w:eastAsia="仿宋_GB2312" w:cs="仿宋_GB2312"/>
          <w:kern w:val="0"/>
          <w:sz w:val="32"/>
          <w:szCs w:val="32"/>
        </w:rPr>
        <w:t xml:space="preserve">  实施单位（公章）：</w:t>
      </w:r>
      <w:r>
        <w:rPr>
          <w:rStyle w:val="19"/>
          <w:rFonts w:hint="eastAsia" w:ascii="仿宋_GB2312" w:hAnsi="仿宋_GB2312" w:eastAsia="仿宋_GB2312" w:cs="仿宋_GB2312"/>
          <w:spacing w:val="-4"/>
          <w:sz w:val="32"/>
          <w:szCs w:val="32"/>
        </w:rPr>
        <w:t>和田地区人民医院</w:t>
      </w:r>
    </w:p>
    <w:p w14:paraId="67525A6F">
      <w:pPr>
        <w:spacing w:line="540" w:lineRule="exact"/>
        <w:ind w:firstLine="800" w:firstLineChars="250"/>
        <w:rPr>
          <w:rFonts w:hint="eastAsia" w:ascii="仿宋_GB2312" w:hAnsi="仿宋_GB2312" w:eastAsia="仿宋_GB2312" w:cs="仿宋_GB2312"/>
          <w:b/>
          <w:bCs/>
          <w:spacing w:val="-4"/>
          <w:sz w:val="32"/>
          <w:szCs w:val="32"/>
          <w:lang w:eastAsia="zh-CN"/>
        </w:rPr>
      </w:pPr>
      <w:r>
        <w:rPr>
          <w:rFonts w:hint="eastAsia" w:ascii="仿宋_GB2312" w:hAnsi="仿宋_GB2312" w:eastAsia="仿宋_GB2312" w:cs="仿宋_GB2312"/>
          <w:kern w:val="0"/>
          <w:sz w:val="32"/>
          <w:szCs w:val="32"/>
        </w:rPr>
        <w:t>主管部门（公章）：</w:t>
      </w:r>
      <w:r>
        <w:rPr>
          <w:rStyle w:val="19"/>
          <w:rFonts w:hint="eastAsia" w:ascii="仿宋_GB2312" w:hAnsi="仿宋_GB2312" w:eastAsia="仿宋_GB2312" w:cs="仿宋_GB2312"/>
          <w:spacing w:val="-4"/>
          <w:sz w:val="32"/>
          <w:szCs w:val="32"/>
        </w:rPr>
        <w:t>和田地区</w:t>
      </w:r>
      <w:r>
        <w:rPr>
          <w:rStyle w:val="19"/>
          <w:rFonts w:hint="eastAsia" w:ascii="仿宋_GB2312" w:hAnsi="仿宋_GB2312" w:eastAsia="仿宋_GB2312" w:cs="仿宋_GB2312"/>
          <w:spacing w:val="-4"/>
          <w:sz w:val="32"/>
          <w:szCs w:val="32"/>
          <w:lang w:val="en-US" w:eastAsia="zh-CN"/>
        </w:rPr>
        <w:t>卫生健康委</w:t>
      </w:r>
    </w:p>
    <w:p w14:paraId="337930D5">
      <w:pPr>
        <w:spacing w:line="540" w:lineRule="exact"/>
        <w:ind w:firstLine="800" w:firstLineChars="250"/>
        <w:rPr>
          <w:rFonts w:hint="eastAsia" w:ascii="仿宋_GB2312" w:hAnsi="仿宋_GB2312" w:eastAsia="仿宋_GB2312" w:cs="仿宋_GB2312"/>
          <w:b/>
          <w:bCs/>
          <w:spacing w:val="-4"/>
          <w:sz w:val="32"/>
          <w:szCs w:val="32"/>
        </w:rPr>
      </w:pPr>
      <w:r>
        <w:rPr>
          <w:rFonts w:hint="eastAsia" w:ascii="仿宋_GB2312" w:hAnsi="仿宋_GB2312" w:eastAsia="仿宋_GB2312" w:cs="仿宋_GB2312"/>
          <w:kern w:val="0"/>
          <w:sz w:val="32"/>
          <w:szCs w:val="32"/>
        </w:rPr>
        <w:t>项目负责人（签章）：</w:t>
      </w:r>
      <w:r>
        <w:rPr>
          <w:rStyle w:val="19"/>
          <w:rFonts w:hint="eastAsia" w:ascii="仿宋_GB2312" w:hAnsi="仿宋_GB2312" w:eastAsia="仿宋_GB2312" w:cs="仿宋_GB2312"/>
          <w:spacing w:val="-4"/>
          <w:sz w:val="32"/>
          <w:szCs w:val="32"/>
        </w:rPr>
        <w:t>唐华华</w:t>
      </w:r>
    </w:p>
    <w:p w14:paraId="53C14060">
      <w:pPr>
        <w:spacing w:line="540" w:lineRule="exact"/>
        <w:ind w:left="273" w:firstLine="567"/>
        <w:rPr>
          <w:rStyle w:val="19"/>
          <w:rFonts w:ascii="楷体" w:hAnsi="楷体" w:eastAsia="楷体"/>
          <w:spacing w:val="-4"/>
          <w:sz w:val="32"/>
          <w:szCs w:val="32"/>
        </w:rPr>
      </w:pPr>
      <w:r>
        <w:rPr>
          <w:rFonts w:hint="eastAsia" w:ascii="仿宋_GB2312" w:hAnsi="仿宋_GB2312" w:eastAsia="仿宋_GB2312" w:cs="仿宋_GB2312"/>
          <w:kern w:val="0"/>
          <w:sz w:val="32"/>
          <w:szCs w:val="32"/>
        </w:rPr>
        <w:t>填报时间：</w:t>
      </w:r>
      <w:r>
        <w:rPr>
          <w:rStyle w:val="19"/>
          <w:rFonts w:hint="eastAsia" w:ascii="仿宋_GB2312" w:hAnsi="仿宋_GB2312" w:eastAsia="仿宋_GB2312" w:cs="仿宋_GB2312"/>
          <w:spacing w:val="-4"/>
          <w:sz w:val="32"/>
          <w:szCs w:val="32"/>
        </w:rPr>
        <w:t>2025年03月29日</w:t>
      </w:r>
    </w:p>
    <w:p w14:paraId="1C63D374">
      <w:pPr>
        <w:spacing w:line="700" w:lineRule="exact"/>
        <w:ind w:firstLine="708" w:firstLineChars="236"/>
        <w:jc w:val="left"/>
        <w:rPr>
          <w:rFonts w:hAnsi="宋体" w:eastAsia="仿宋_GB2312" w:cs="宋体"/>
          <w:kern w:val="0"/>
          <w:sz w:val="30"/>
          <w:szCs w:val="30"/>
        </w:rPr>
      </w:pPr>
    </w:p>
    <w:p w14:paraId="3055B582">
      <w:pPr>
        <w:keepNext w:val="0"/>
        <w:keepLines w:val="0"/>
        <w:pageBreakBefore w:val="0"/>
        <w:widowControl w:val="0"/>
        <w:kinsoku/>
        <w:wordWrap/>
        <w:overflowPunct/>
        <w:topLinePunct w:val="0"/>
        <w:autoSpaceDE/>
        <w:autoSpaceDN/>
        <w:bidi w:val="0"/>
        <w:adjustRightInd/>
        <w:snapToGrid/>
        <w:spacing w:line="58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0EB30A34">
      <w:pPr>
        <w:keepNext w:val="0"/>
        <w:keepLines w:val="0"/>
        <w:pageBreakBefore w:val="0"/>
        <w:widowControl w:val="0"/>
        <w:kinsoku/>
        <w:wordWrap/>
        <w:overflowPunct/>
        <w:topLinePunct w:val="0"/>
        <w:autoSpaceDE/>
        <w:autoSpaceDN/>
        <w:bidi w:val="0"/>
        <w:adjustRightInd/>
        <w:snapToGrid/>
        <w:spacing w:line="580" w:lineRule="exact"/>
        <w:ind w:firstLine="627" w:firstLineChars="200"/>
        <w:textAlignment w:val="auto"/>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（一）项目概况</w:t>
      </w:r>
    </w:p>
    <w:p w14:paraId="0BAB146A">
      <w:pPr>
        <w:keepNext w:val="0"/>
        <w:keepLines w:val="0"/>
        <w:pageBreakBefore w:val="0"/>
        <w:widowControl w:val="0"/>
        <w:kinsoku/>
        <w:wordWrap/>
        <w:overflowPunct/>
        <w:topLinePunct w:val="0"/>
        <w:autoSpaceDE/>
        <w:autoSpaceDN/>
        <w:bidi w:val="0"/>
        <w:adjustRightInd/>
        <w:snapToGrid/>
        <w:spacing w:line="580" w:lineRule="exact"/>
        <w:ind w:firstLine="627" w:firstLineChars="200"/>
        <w:textAlignment w:val="auto"/>
        <w:rPr>
          <w:rStyle w:val="19"/>
          <w:rFonts w:hint="eastAsia" w:ascii="楷体" w:hAnsi="楷体" w:eastAsia="楷体"/>
          <w:b/>
          <w:bCs/>
          <w:spacing w:val="-4"/>
          <w:sz w:val="32"/>
          <w:szCs w:val="32"/>
        </w:rPr>
      </w:pPr>
      <w:r>
        <w:rPr>
          <w:rStyle w:val="19"/>
          <w:rFonts w:hint="eastAsia" w:ascii="仿宋_GB2312" w:hAnsi="仿宋_GB2312" w:eastAsia="仿宋_GB2312" w:cs="仿宋_GB2312"/>
          <w:b/>
          <w:bCs/>
          <w:spacing w:val="-4"/>
          <w:sz w:val="32"/>
          <w:szCs w:val="32"/>
        </w:rPr>
        <w:t>1.项目背景</w:t>
      </w:r>
    </w:p>
    <w:p w14:paraId="2E6452D3">
      <w:pPr>
        <w:keepNext w:val="0"/>
        <w:keepLines w:val="0"/>
        <w:pageBreakBefore w:val="0"/>
        <w:widowControl w:val="0"/>
        <w:kinsoku/>
        <w:wordWrap/>
        <w:overflowPunct/>
        <w:topLinePunct w:val="0"/>
        <w:autoSpaceDE/>
        <w:autoSpaceDN/>
        <w:bidi w:val="0"/>
        <w:adjustRightInd/>
        <w:snapToGrid/>
        <w:spacing w:line="580" w:lineRule="exact"/>
        <w:ind w:firstLine="624"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val="0"/>
          <w:bCs w:val="0"/>
          <w:spacing w:val="-4"/>
          <w:sz w:val="32"/>
          <w:szCs w:val="32"/>
        </w:rPr>
        <w:t>本项目遵循国家卫生健康委员会办公厅、财政部办公厅、国家中医药管理局办公室下发的《关于公布第三批住院医师规范化培训基地名录的通知》（国卫办科教函〔2020〕970号）等相关政策文件与规定，旨在加强全科培训，提高住院医师规范化培训结业考核合格率，解决全科、儿科等专科卫生健康人才紧缺问题，进一步提升基层医疗卫生机构医疗水平，更好地适应人民群众基本医疗卫生服务需求。</w:t>
      </w:r>
      <w:r>
        <w:rPr>
          <w:rStyle w:val="19"/>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为做好中央和地方转移支付卫生健康人才培养项目管理工作，提高培训质量，按照自治区财政厅、和田地区财政局《关于提前下达2024年中央医疗服务与保障能力提升（卫生健康人才培养）补助资金的通知》（和地财社〔2023〕71号）文件要求，制定《和田地区人民医院2024年卫生健康人才培养住院医师规范化培训项目实施方案》，根据方案落实专项经费的管理使用，2024年大力加强卫生健康人才培养，以全科医生、助理全科医生为重点，加强基层人才队伍建设，加大住院医师规范化培训和助理全科医生培训、全科医生转岗培训力度，尤其对全科、儿科、妇产科等急需的紧缺人才培养培训。</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卫生健康人才培养是推进“健康中国”战略的核心支撑。需通过政策引导、资源整合和制度创新，构建“数量充足、结构合理、能力过硬”的人才队伍，为全民健康提供坚实保障。</w:t>
      </w:r>
      <w:r>
        <w:rPr>
          <w:rFonts w:hint="eastAsia" w:ascii="仿宋_GB2312" w:hAnsi="仿宋_GB2312" w:eastAsia="仿宋_GB2312" w:cs="仿宋_GB2312"/>
          <w:sz w:val="32"/>
          <w:szCs w:val="32"/>
        </w:rPr>
        <w:cr/>
      </w:r>
      <w:r>
        <w:rPr>
          <w:rFonts w:hint="eastAsia" w:ascii="仿宋_GB2312" w:hAnsi="仿宋_GB2312" w:eastAsia="仿宋_GB2312" w:cs="仿宋_GB2312"/>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2.主要内容</w:t>
      </w:r>
      <w:r>
        <w:rPr>
          <w:rFonts w:hint="eastAsia" w:ascii="仿宋_GB2312" w:hAnsi="仿宋_GB2312" w:eastAsia="仿宋_GB2312" w:cs="仿宋_GB2312"/>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资金用于在培住院医师、助理全科医生、全科医生转岗学员及2024年新招收住院医师、助理全科医生，根据《和田地区人民医院住院（全科）医师规范化培训专项资金管理办法》（和医行发〔2021〕27号）、《和田地区人民医院助理全科医生培训专项资金管理办法》（和医行发〔2021〕26号）及《和田地区人民医院住院医师规范化培训学员补助标准》（和医院办发〔2024〕20号）执行，补助资金用于学员生活补助，根据学员是否取得执业证书发放，及用于师资能力提升、带教补贴、必要教学教材、实践技能培训、优秀人员奖励、住院医师考试、考核、专业技能比赛、管理平台服务费用等相关费用。中央财政培训资金不足部分由自治区财政、培训基地自筹，保障培训质量和学员培训期间待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主要实施内容为：开展301名学员的培训，其中住院医师规范化培训学员189人，助理全科医生102人，全科医生转岗培训学员10人，项目总投资为714.24万元，项目计划于2024年12月完成。通过本项目的实施，可有效提高学员临床服务能力，待项目实施完成，争取使受益人群满意度不低于95%。</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3.实施情况</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实施主体：和田地区人民医院。</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实施时间：本项目实施期限为2024年01月—2024年12月。</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实施情况：根据修订的《和田地区人民医院住院医师规范化</w:t>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培训学员补助标准》，严格按照资金要求按月执行住培学员生活补助、餐费补助的审批及发放,截至12月底住院医师规范化培训专项经费已使用514.18万元（用于住培学员189人，其中：内科34人，外科30人，妇产科10人，儿科10人，全科92人，急诊8人，麻醉7人，放射2人，检验2人，超声6人；2024年招收37人，其中内科14人，外科12人，妇产科4人，儿科4人，全科3人）</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助理全科医师培训专项经费已使用159.9万元（用于助理全科在培102人）；全科转岗医师培训专项经费已使用10.79万元（用于2023年—2024年全科转岗培训16人）</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学员培训满意度98.1%。</w:t>
      </w:r>
      <w:r>
        <w:rPr>
          <w:rFonts w:hint="eastAsia" w:ascii="仿宋_GB2312" w:hAnsi="仿宋_GB2312" w:eastAsia="仿宋_GB2312" w:cs="仿宋_GB2312"/>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4.资金投入和使用情况</w:t>
      </w:r>
    </w:p>
    <w:p w14:paraId="2FC2CD70">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left="0" w:leftChars="0" w:firstLine="312" w:firstLineChars="1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项目资金安排落实、总投入等情况分析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highlight w:val="none"/>
          <w:lang w:val="en-US" w:eastAsia="zh-CN"/>
        </w:rPr>
        <w:t>本项目预算安排总额为714.24万元，资金来源为中央专项资金；其中：财政资金：714.24万元，其他资金0万元，2024年实际收到预算资金714.24万元，预算资金到位率为100%。</w:t>
      </w:r>
      <w:r>
        <w:rPr>
          <w:rStyle w:val="19"/>
          <w:rFonts w:hint="eastAsia" w:ascii="仿宋_GB2312" w:hAnsi="仿宋_GB2312" w:eastAsia="仿宋_GB2312" w:cs="仿宋_GB2312"/>
          <w:b w:val="0"/>
          <w:bCs w:val="0"/>
          <w:spacing w:val="-4"/>
          <w:sz w:val="32"/>
          <w:szCs w:val="32"/>
          <w:lang w:val="en-US" w:eastAsia="zh-CN"/>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（2）项目资金实际使用情况分析</w:t>
      </w:r>
      <w:r>
        <w:rPr>
          <w:rFonts w:hint="eastAsia" w:ascii="仿宋_GB2312" w:hAnsi="仿宋_GB2312" w:eastAsia="仿宋_GB2312" w:cs="仿宋_GB2312"/>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本项目实际支付资金684.87万元，预算执行率95.89%，结转资金29.37万元。本项目资金主要用于支付学员生活补助费用581.6万元、教学活动费用103.27万元。</w:t>
      </w:r>
    </w:p>
    <w:p w14:paraId="3B93FC4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27" w:firstLineChars="200"/>
        <w:textAlignment w:val="auto"/>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（二）项目绩效目标</w:t>
      </w:r>
    </w:p>
    <w:p w14:paraId="419ECF0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1.总体目标</w:t>
      </w:r>
    </w:p>
    <w:p w14:paraId="73B010DB">
      <w:pPr>
        <w:keepNext w:val="0"/>
        <w:keepLines w:val="0"/>
        <w:pageBreakBefore w:val="0"/>
        <w:widowControl w:val="0"/>
        <w:kinsoku/>
        <w:wordWrap/>
        <w:overflowPunct/>
        <w:topLinePunct w:val="0"/>
        <w:autoSpaceDE/>
        <w:autoSpaceDN/>
        <w:bidi w:val="0"/>
        <w:adjustRightInd/>
        <w:snapToGrid/>
        <w:spacing w:line="58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截至2024年12月31日，本项目实际形成支出684.87万元，已完成开展307名学员的培训，其中住院医师规范化培训学员189人，助理全科医生102人，全科医生转岗培训学员16人的任务，达到了有效提高学员临床服务能力，受益人群满意度达到98.1%。</w:t>
      </w:r>
      <w:r>
        <w:rPr>
          <w:rFonts w:hint="eastAsia" w:ascii="仿宋_GB2312" w:hAnsi="仿宋_GB2312" w:eastAsia="仿宋_GB2312" w:cs="仿宋_GB2312"/>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2.阶段性目标</w:t>
      </w:r>
      <w:r>
        <w:rPr>
          <w:rFonts w:hint="eastAsia" w:ascii="仿宋_GB2312" w:hAnsi="仿宋_GB2312" w:eastAsia="仿宋_GB2312" w:cs="仿宋_GB2312"/>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项目前期准备工作：我单位根据《和田地区人民医院住院医师规范化培训学员补助标准》政策文件要求，开展2024年卫生健康人才培养项目。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项目实施：经评价组通过实地调研、查阅资料等方式，采用综合分析法对项目的决策、管理、绩效进行综合评价分析。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完成：截至2024年12月31日，本项目实际形成支出684.87万元，已完成开展307名学员的培训，其中住院医师规范化培训学员189人，助理全科医生102人，全科医生转岗培训学员16人的任务，达到了有效提高学员临床服务能力，受益人群满意度达到98.1%。</w:t>
      </w:r>
    </w:p>
    <w:p w14:paraId="62D5EAA5">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433C5BA3">
      <w:pPr>
        <w:keepNext w:val="0"/>
        <w:keepLines w:val="0"/>
        <w:pageBreakBefore w:val="0"/>
        <w:widowControl w:val="0"/>
        <w:kinsoku/>
        <w:wordWrap/>
        <w:overflowPunct/>
        <w:topLinePunct w:val="0"/>
        <w:autoSpaceDE/>
        <w:autoSpaceDN/>
        <w:bidi w:val="0"/>
        <w:adjustRightInd/>
        <w:snapToGrid/>
        <w:spacing w:line="580" w:lineRule="exact"/>
        <w:ind w:firstLine="627" w:firstLineChars="200"/>
        <w:textAlignment w:val="auto"/>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（一）绩效评价目的、对象和范围</w:t>
      </w:r>
    </w:p>
    <w:p w14:paraId="3AB9E45B">
      <w:pPr>
        <w:keepNext w:val="0"/>
        <w:keepLines w:val="0"/>
        <w:pageBreakBefore w:val="0"/>
        <w:widowControl w:val="0"/>
        <w:kinsoku/>
        <w:wordWrap/>
        <w:overflowPunct/>
        <w:topLinePunct w:val="0"/>
        <w:autoSpaceDE/>
        <w:autoSpaceDN/>
        <w:bidi w:val="0"/>
        <w:adjustRightInd/>
        <w:snapToGrid/>
        <w:spacing w:line="580" w:lineRule="exact"/>
        <w:ind w:left="319" w:leftChars="152" w:firstLine="313" w:firstLineChars="1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1.绩效评价的目的</w:t>
      </w:r>
    </w:p>
    <w:p w14:paraId="478D6F70">
      <w:pPr>
        <w:keepNext w:val="0"/>
        <w:keepLines w:val="0"/>
        <w:pageBreakBefore w:val="0"/>
        <w:widowControl w:val="0"/>
        <w:kinsoku/>
        <w:wordWrap/>
        <w:overflowPunct/>
        <w:topLinePunct w:val="0"/>
        <w:autoSpaceDE/>
        <w:autoSpaceDN/>
        <w:bidi w:val="0"/>
        <w:adjustRightInd/>
        <w:snapToGrid/>
        <w:spacing w:line="58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卫生健康人才培养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441643F2">
      <w:pPr>
        <w:keepNext w:val="0"/>
        <w:keepLines w:val="0"/>
        <w:pageBreakBefore w:val="0"/>
        <w:widowControl w:val="0"/>
        <w:kinsoku/>
        <w:wordWrap/>
        <w:overflowPunct/>
        <w:topLinePunct w:val="0"/>
        <w:autoSpaceDE/>
        <w:autoSpaceDN/>
        <w:bidi w:val="0"/>
        <w:adjustRightInd/>
        <w:snapToGrid/>
        <w:spacing w:line="58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仿宋_GB2312" w:hAnsi="仿宋_GB2312" w:eastAsia="仿宋_GB2312" w:cs="仿宋_GB2312"/>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2.绩效评价对象</w:t>
      </w:r>
    </w:p>
    <w:p w14:paraId="47E2EB45">
      <w:pPr>
        <w:keepNext w:val="0"/>
        <w:keepLines w:val="0"/>
        <w:pageBreakBefore w:val="0"/>
        <w:widowControl w:val="0"/>
        <w:kinsoku/>
        <w:wordWrap/>
        <w:overflowPunct/>
        <w:topLinePunct w:val="0"/>
        <w:autoSpaceDE/>
        <w:autoSpaceDN/>
        <w:bidi w:val="0"/>
        <w:adjustRightInd/>
        <w:snapToGrid/>
        <w:spacing w:line="58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此次我单位根据《财政支出绩效评价管理暂行办法》（财预〔2020〕10号）文件要求实施评价工作，本次评价对象为2024年卫生健康人才培养项目，评价核心为项目的资金投入、产出及效益。</w:t>
      </w:r>
      <w:r>
        <w:rPr>
          <w:rFonts w:hint="eastAsia" w:ascii="仿宋_GB2312" w:hAnsi="仿宋_GB2312" w:eastAsia="仿宋_GB2312" w:cs="仿宋_GB2312"/>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3.绩效评价范围</w:t>
      </w:r>
    </w:p>
    <w:p w14:paraId="3E4CB599">
      <w:pPr>
        <w:keepNext w:val="0"/>
        <w:keepLines w:val="0"/>
        <w:pageBreakBefore w:val="0"/>
        <w:widowControl w:val="0"/>
        <w:kinsoku/>
        <w:wordWrap/>
        <w:overflowPunct/>
        <w:topLinePunct w:val="0"/>
        <w:autoSpaceDE/>
        <w:autoSpaceDN/>
        <w:bidi w:val="0"/>
        <w:adjustRightInd/>
        <w:snapToGrid/>
        <w:spacing w:line="580" w:lineRule="exact"/>
        <w:ind w:firstLine="624" w:firstLineChars="200"/>
        <w:textAlignment w:val="auto"/>
        <w:rPr>
          <w:rStyle w:val="19"/>
          <w:rFonts w:ascii="楷体" w:hAnsi="楷体" w:eastAsia="楷体"/>
          <w:b w:val="0"/>
          <w:bCs w:val="0"/>
          <w:spacing w:val="-4"/>
          <w:sz w:val="32"/>
          <w:szCs w:val="32"/>
        </w:rPr>
      </w:pP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25DBA63">
      <w:pPr>
        <w:keepNext w:val="0"/>
        <w:keepLines w:val="0"/>
        <w:pageBreakBefore w:val="0"/>
        <w:widowControl w:val="0"/>
        <w:kinsoku/>
        <w:wordWrap/>
        <w:overflowPunct/>
        <w:topLinePunct w:val="0"/>
        <w:autoSpaceDE/>
        <w:autoSpaceDN/>
        <w:bidi w:val="0"/>
        <w:adjustRightInd/>
        <w:snapToGrid/>
        <w:spacing w:line="580" w:lineRule="exact"/>
        <w:ind w:firstLine="567"/>
        <w:textAlignment w:val="auto"/>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（二）绩效评价原则、评价指标体系、评价方法、评价标准</w:t>
      </w:r>
    </w:p>
    <w:p w14:paraId="69E46867">
      <w:pPr>
        <w:keepNext w:val="0"/>
        <w:keepLines w:val="0"/>
        <w:pageBreakBefore w:val="0"/>
        <w:widowControl w:val="0"/>
        <w:kinsoku/>
        <w:wordWrap/>
        <w:overflowPunct/>
        <w:topLinePunct w:val="0"/>
        <w:autoSpaceDE/>
        <w:autoSpaceDN/>
        <w:bidi w:val="0"/>
        <w:adjustRightInd/>
        <w:snapToGrid/>
        <w:spacing w:line="58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1.绩效评价原则</w:t>
      </w:r>
    </w:p>
    <w:p w14:paraId="69EC434E">
      <w:pPr>
        <w:keepNext w:val="0"/>
        <w:keepLines w:val="0"/>
        <w:pageBreakBefore w:val="0"/>
        <w:widowControl w:val="0"/>
        <w:kinsoku/>
        <w:wordWrap/>
        <w:overflowPunct/>
        <w:topLinePunct w:val="0"/>
        <w:autoSpaceDE/>
        <w:autoSpaceDN/>
        <w:bidi w:val="0"/>
        <w:adjustRightInd/>
        <w:snapToGrid/>
        <w:spacing w:line="580" w:lineRule="exact"/>
        <w:ind w:firstLine="624" w:firstLineChars="200"/>
        <w:textAlignment w:val="auto"/>
        <w:rPr>
          <w:rStyle w:val="19"/>
          <w:rFonts w:hint="eastAsia" w:ascii="楷体" w:hAnsi="楷体" w:eastAsia="楷体"/>
          <w:b w:val="0"/>
          <w:bCs w:val="0"/>
          <w:spacing w:val="-4"/>
          <w:sz w:val="32"/>
          <w:szCs w:val="32"/>
          <w:highlight w:val="none"/>
        </w:rPr>
      </w:pPr>
      <w:r>
        <w:rPr>
          <w:rStyle w:val="19"/>
          <w:rFonts w:hint="eastAsia" w:ascii="仿宋_GB2312" w:hAnsi="仿宋_GB2312" w:eastAsia="仿宋_GB2312" w:cs="仿宋_GB2312"/>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（1）科学公正。绩效评价应当运用科学合理的方法，按照规范的程序，对项目绩效进行客观、公正地反映。</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（4）公开透明。绩效评价结果应依法依规公开，并自觉接受社会监督。</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根据以上原则，绩效评价应遵循如下要求:</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highlight w:val="none"/>
        </w:rPr>
        <w:t>（1）在数据采集时，采取客观数据，主管部门审查、社会中介组织复查，与问卷调查相结合的形式，以保证各项指标的真实性。</w:t>
      </w:r>
      <w:r>
        <w:rPr>
          <w:rFonts w:hint="eastAsia" w:ascii="仿宋_GB2312" w:hAnsi="仿宋_GB2312" w:eastAsia="仿宋_GB2312" w:cs="仿宋_GB2312"/>
          <w:b w:val="0"/>
          <w:bCs w:val="0"/>
          <w:spacing w:val="-4"/>
          <w:sz w:val="32"/>
          <w:szCs w:val="32"/>
          <w:highlight w:val="none"/>
        </w:rPr>
        <w:br w:type="textWrapping"/>
      </w:r>
      <w:r>
        <w:rPr>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（2）保证评价结果的真实性、公正性，提高评价报告的公信力。</w:t>
      </w:r>
      <w:r>
        <w:rPr>
          <w:rFonts w:hint="eastAsia" w:ascii="仿宋_GB2312" w:hAnsi="仿宋_GB2312" w:eastAsia="仿宋_GB2312" w:cs="仿宋_GB2312"/>
          <w:b w:val="0"/>
          <w:bCs w:val="0"/>
          <w:spacing w:val="-4"/>
          <w:sz w:val="32"/>
          <w:szCs w:val="32"/>
          <w:highlight w:val="none"/>
        </w:rPr>
        <w:br w:type="textWrapping"/>
      </w:r>
      <w:r>
        <w:rPr>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53A0187B">
      <w:pPr>
        <w:keepNext w:val="0"/>
        <w:keepLines w:val="0"/>
        <w:pageBreakBefore w:val="0"/>
        <w:widowControl w:val="0"/>
        <w:kinsoku/>
        <w:wordWrap/>
        <w:overflowPunct/>
        <w:topLinePunct w:val="0"/>
        <w:autoSpaceDE/>
        <w:autoSpaceDN/>
        <w:bidi w:val="0"/>
        <w:adjustRightInd/>
        <w:snapToGrid/>
        <w:spacing w:line="580" w:lineRule="exact"/>
        <w:ind w:firstLine="627" w:firstLineChars="200"/>
        <w:textAlignment w:val="auto"/>
        <w:rPr>
          <w:rStyle w:val="19"/>
          <w:rFonts w:hint="eastAsia" w:ascii="楷体" w:hAnsi="楷体" w:eastAsia="楷体"/>
          <w:b w:val="0"/>
          <w:bCs w:val="0"/>
          <w:spacing w:val="-4"/>
          <w:sz w:val="32"/>
          <w:szCs w:val="32"/>
        </w:rPr>
      </w:pPr>
      <w:r>
        <w:rPr>
          <w:rStyle w:val="19"/>
          <w:rFonts w:hint="eastAsia" w:ascii="仿宋_GB2312" w:hAnsi="仿宋_GB2312" w:eastAsia="仿宋_GB2312" w:cs="仿宋_GB2312"/>
          <w:b/>
          <w:bCs/>
          <w:spacing w:val="-4"/>
          <w:sz w:val="32"/>
          <w:szCs w:val="32"/>
        </w:rPr>
        <w:t>2.绩效评价指标体系</w:t>
      </w:r>
    </w:p>
    <w:p w14:paraId="63CA6961">
      <w:pPr>
        <w:keepNext w:val="0"/>
        <w:keepLines w:val="0"/>
        <w:pageBreakBefore w:val="0"/>
        <w:widowControl w:val="0"/>
        <w:kinsoku/>
        <w:wordWrap/>
        <w:overflowPunct/>
        <w:topLinePunct w:val="0"/>
        <w:autoSpaceDE/>
        <w:autoSpaceDN/>
        <w:bidi w:val="0"/>
        <w:adjustRightInd/>
        <w:snapToGrid/>
        <w:spacing w:line="580" w:lineRule="exact"/>
        <w:ind w:firstLine="624" w:firstLineChars="200"/>
        <w:jc w:val="both"/>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3.评价方法</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_GB2312" w:hAnsi="仿宋_GB2312" w:eastAsia="仿宋_GB2312" w:cs="仿宋_GB2312"/>
          <w:b w:val="0"/>
          <w:bCs w:val="0"/>
          <w:spacing w:val="-4"/>
          <w:sz w:val="32"/>
          <w:szCs w:val="32"/>
          <w:lang w:val="en-US" w:eastAsia="zh-CN"/>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r>
        <w:rPr>
          <w:rStyle w:val="19"/>
          <w:rFonts w:hint="eastAsia" w:ascii="仿宋_GB2312" w:hAnsi="仿宋_GB2312" w:eastAsia="仿宋_GB2312" w:cs="仿宋_GB2312"/>
          <w:b w:val="0"/>
          <w:bCs w:val="0"/>
          <w:spacing w:val="-4"/>
          <w:sz w:val="32"/>
          <w:szCs w:val="32"/>
          <w:lang w:eastAsia="zh-CN"/>
        </w:rPr>
        <w:t>。</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p>
    <w:p w14:paraId="0336749C">
      <w:pPr>
        <w:keepNext w:val="0"/>
        <w:keepLines w:val="0"/>
        <w:pageBreakBefore w:val="0"/>
        <w:widowControl w:val="0"/>
        <w:kinsoku/>
        <w:wordWrap/>
        <w:overflowPunct/>
        <w:topLinePunct w:val="0"/>
        <w:autoSpaceDE/>
        <w:autoSpaceDN/>
        <w:bidi w:val="0"/>
        <w:adjustRightInd/>
        <w:snapToGrid/>
        <w:spacing w:line="58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4.评价标准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F768440">
      <w:pPr>
        <w:keepNext w:val="0"/>
        <w:keepLines w:val="0"/>
        <w:pageBreakBefore w:val="0"/>
        <w:widowControl w:val="0"/>
        <w:kinsoku/>
        <w:wordWrap/>
        <w:overflowPunct/>
        <w:topLinePunct w:val="0"/>
        <w:autoSpaceDE/>
        <w:autoSpaceDN/>
        <w:bidi w:val="0"/>
        <w:adjustRightInd/>
        <w:snapToGrid/>
        <w:spacing w:line="580" w:lineRule="exact"/>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5.问题整改</w:t>
      </w:r>
    </w:p>
    <w:p w14:paraId="0DA928E7">
      <w:pPr>
        <w:keepNext w:val="0"/>
        <w:keepLines w:val="0"/>
        <w:pageBreakBefore w:val="0"/>
        <w:widowControl w:val="0"/>
        <w:kinsoku/>
        <w:wordWrap/>
        <w:overflowPunct/>
        <w:topLinePunct w:val="0"/>
        <w:autoSpaceDE/>
        <w:autoSpaceDN/>
        <w:bidi w:val="0"/>
        <w:adjustRightInd/>
        <w:snapToGrid/>
        <w:spacing w:line="58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6.档案整理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054CECB9">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5A7AB75A">
      <w:pPr>
        <w:keepNext w:val="0"/>
        <w:keepLines w:val="0"/>
        <w:pageBreakBefore w:val="0"/>
        <w:widowControl w:val="0"/>
        <w:kinsoku/>
        <w:wordWrap/>
        <w:overflowPunct/>
        <w:topLinePunct w:val="0"/>
        <w:autoSpaceDE/>
        <w:autoSpaceDN/>
        <w:bidi w:val="0"/>
        <w:adjustRightInd/>
        <w:snapToGrid/>
        <w:spacing w:line="580" w:lineRule="exact"/>
        <w:ind w:firstLine="567"/>
        <w:textAlignment w:val="auto"/>
        <w:rPr>
          <w:rStyle w:val="19"/>
          <w:rFonts w:hint="eastAsia" w:ascii="楷体" w:hAnsi="楷体" w:eastAsia="楷体"/>
          <w:b w:val="0"/>
          <w:bCs w:val="0"/>
          <w:spacing w:val="-4"/>
          <w:sz w:val="32"/>
          <w:szCs w:val="32"/>
        </w:rPr>
      </w:pPr>
      <w:r>
        <w:rPr>
          <w:rStyle w:val="19"/>
          <w:rFonts w:hint="eastAsia" w:ascii="楷体_GB2312" w:hAnsi="楷体_GB2312" w:eastAsia="楷体_GB2312" w:cs="楷体_GB2312"/>
          <w:spacing w:val="-4"/>
          <w:sz w:val="32"/>
          <w:szCs w:val="32"/>
        </w:rPr>
        <w:t>（一）综合评价情况</w:t>
      </w:r>
    </w:p>
    <w:p w14:paraId="353ED31C">
      <w:pPr>
        <w:keepNext w:val="0"/>
        <w:keepLines w:val="0"/>
        <w:pageBreakBefore w:val="0"/>
        <w:widowControl w:val="0"/>
        <w:kinsoku/>
        <w:wordWrap/>
        <w:overflowPunct/>
        <w:topLinePunct w:val="0"/>
        <w:autoSpaceDE/>
        <w:autoSpaceDN/>
        <w:bidi w:val="0"/>
        <w:adjustRightInd/>
        <w:snapToGrid/>
        <w:spacing w:line="580" w:lineRule="exact"/>
        <w:ind w:firstLine="624" w:firstLineChars="200"/>
        <w:textAlignment w:val="auto"/>
        <w:rPr>
          <w:rStyle w:val="19"/>
          <w:rFonts w:ascii="楷体" w:hAnsi="楷体" w:eastAsia="楷体"/>
          <w:b w:val="0"/>
          <w:bCs w:val="0"/>
          <w:spacing w:val="-4"/>
          <w:sz w:val="32"/>
          <w:szCs w:val="32"/>
        </w:rPr>
      </w:pPr>
      <w:r>
        <w:rPr>
          <w:rStyle w:val="19"/>
          <w:rFonts w:hint="eastAsia" w:ascii="仿宋_GB2312" w:hAnsi="仿宋_GB2312" w:eastAsia="仿宋_GB2312" w:cs="仿宋_GB2312"/>
          <w:b w:val="0"/>
          <w:bCs w:val="0"/>
          <w:spacing w:val="-4"/>
          <w:sz w:val="32"/>
          <w:szCs w:val="32"/>
        </w:rPr>
        <w:t>经评价，本项目达成年初设立的绩效目标，在实施过程中取得了良好的成效，具体表现在以下三方面：</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一是：按计划完成了2024年度的招收工作，共招收37人，其中，妇产科专业4人，儿科专业4人，全科专业3人，内科专业14人，外科专业12人。住院医师规范化培训招收完成率达到100%，住院医师规范化培训项目紧缺专业招收完成率达到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是：截至2024年12月31日，本项目实际形成支出684.87万元，已完成开展307名在培学员的培训，其中住院医师规范化培训在培学员189人，助理全科医生102人，助理全科医生培训招收完成率100%，全科医生转岗培训学员16人，全科医生转岗培训招收完成率100%，达到了有效提高学员临床服务能力，受益人群满意度达到98.1%。</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三是：住院医师规范化培训结业考核通过率86.8%，助理全科医生培训结业考核通过率47.6%，参培住院医师业务水平及参培助理全科医师业务水平均大幅提高。</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楷体_GB2312" w:hAnsi="楷体_GB2312" w:eastAsia="楷体_GB2312" w:cs="楷体_GB2312"/>
          <w:spacing w:val="-4"/>
          <w:sz w:val="32"/>
          <w:szCs w:val="32"/>
        </w:rPr>
        <w:t>（二）评价结论</w:t>
      </w:r>
      <w:r>
        <w:rPr>
          <w:rFonts w:hint="eastAsia" w:ascii="楷体_GB2312" w:hAnsi="楷体_GB2312" w:eastAsia="楷体_GB2312" w:cs="楷体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96.51分，绩效评级为“优”。综合评价结论如下：本项目共设置三级指标数量22个，实现三级指标数量18个，总体完成率为96.51%。</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项目决策类指标共设置6个，满分指标6个，权重分21分，得分21分，得分率100%；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过程管理类指标共设置5个，满分指标4个，权重分19分，得分18.79分，得分率98.89%；</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highlight w:val="none"/>
        </w:rPr>
        <w:t>项目产出类指标共设</w:t>
      </w:r>
      <w:r>
        <w:rPr>
          <w:rStyle w:val="19"/>
          <w:rFonts w:hint="eastAsia" w:ascii="仿宋_GB2312" w:hAnsi="仿宋_GB2312" w:eastAsia="仿宋_GB2312" w:cs="仿宋_GB2312"/>
          <w:b w:val="0"/>
          <w:bCs w:val="0"/>
          <w:spacing w:val="-4"/>
          <w:sz w:val="32"/>
          <w:szCs w:val="32"/>
        </w:rPr>
        <w:t>置9个，满分指标6个，权重分20分，得分16.72分，得分率83.6%；</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项目效益类指标共设置2个，满分指标2个，权重分40分，得分40分，得分率100%。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详细情况见“附件2：项目综合得分表”。</w:t>
      </w:r>
    </w:p>
    <w:p w14:paraId="74C2E4F9">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Style w:val="19"/>
          <w:rFonts w:ascii="黑体" w:hAnsi="黑体" w:eastAsia="黑体"/>
          <w:sz w:val="32"/>
          <w:szCs w:val="32"/>
        </w:rPr>
      </w:pPr>
      <w:r>
        <w:rPr>
          <w:rStyle w:val="19"/>
          <w:rFonts w:hint="eastAsia" w:ascii="黑体" w:hAnsi="黑体" w:eastAsia="黑体"/>
          <w:b w:val="0"/>
          <w:spacing w:val="-4"/>
          <w:sz w:val="32"/>
          <w:szCs w:val="32"/>
        </w:rPr>
        <w:t>四、绩效评价指标分析</w:t>
      </w:r>
      <w:r>
        <w:rPr>
          <w:rStyle w:val="19"/>
          <w:rFonts w:hint="eastAsia" w:ascii="黑体" w:hAnsi="黑体" w:eastAsia="黑体"/>
          <w:sz w:val="32"/>
          <w:szCs w:val="32"/>
        </w:rPr>
        <w:t xml:space="preserve"> </w:t>
      </w:r>
    </w:p>
    <w:p w14:paraId="2219D9BC">
      <w:pPr>
        <w:keepNext w:val="0"/>
        <w:keepLines w:val="0"/>
        <w:pageBreakBefore w:val="0"/>
        <w:widowControl w:val="0"/>
        <w:kinsoku/>
        <w:wordWrap/>
        <w:overflowPunct/>
        <w:topLinePunct w:val="0"/>
        <w:autoSpaceDE/>
        <w:autoSpaceDN/>
        <w:bidi w:val="0"/>
        <w:adjustRightInd/>
        <w:snapToGrid/>
        <w:spacing w:line="580" w:lineRule="exact"/>
        <w:ind w:firstLine="567" w:firstLineChars="181"/>
        <w:textAlignment w:val="auto"/>
        <w:rPr>
          <w:rStyle w:val="19"/>
          <w:rFonts w:hint="eastAsia" w:ascii="楷体_GB2312" w:hAnsi="楷体_GB2312" w:eastAsia="楷体_GB2312" w:cs="楷体_GB2312"/>
          <w:spacing w:val="-4"/>
          <w:sz w:val="32"/>
          <w:szCs w:val="32"/>
        </w:rPr>
      </w:pPr>
      <w:r>
        <w:rPr>
          <w:rFonts w:hint="eastAsia" w:ascii="楷体_GB2312" w:hAnsi="楷体_GB2312" w:eastAsia="楷体_GB2312" w:cs="楷体_GB2312"/>
          <w:b/>
          <w:spacing w:val="-4"/>
          <w:sz w:val="32"/>
          <w:szCs w:val="32"/>
        </w:rPr>
        <w:t>（一）</w:t>
      </w:r>
      <w:r>
        <w:rPr>
          <w:rStyle w:val="19"/>
          <w:rFonts w:hint="eastAsia" w:ascii="楷体_GB2312" w:hAnsi="楷体_GB2312" w:eastAsia="楷体_GB2312" w:cs="楷体_GB2312"/>
          <w:spacing w:val="-4"/>
          <w:sz w:val="32"/>
          <w:szCs w:val="32"/>
        </w:rPr>
        <w:t>项目决策情况</w:t>
      </w:r>
    </w:p>
    <w:p w14:paraId="23B98FC4">
      <w:pPr>
        <w:keepNext w:val="0"/>
        <w:keepLines w:val="0"/>
        <w:pageBreakBefore w:val="0"/>
        <w:widowControl w:val="0"/>
        <w:kinsoku/>
        <w:wordWrap/>
        <w:overflowPunct/>
        <w:topLinePunct w:val="0"/>
        <w:autoSpaceDE/>
        <w:autoSpaceDN/>
        <w:bidi w:val="0"/>
        <w:adjustRightInd/>
        <w:snapToGrid/>
        <w:spacing w:line="580" w:lineRule="exact"/>
        <w:ind w:firstLine="564" w:firstLineChars="181"/>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项目决策类指标由3个二级指标和6个三级指标构成，权重分21分，实际得分21分。</w:t>
      </w:r>
      <w:r>
        <w:rPr>
          <w:rFonts w:hint="eastAsia" w:ascii="仿宋_GB2312" w:hAnsi="仿宋_GB2312" w:eastAsia="仿宋_GB2312" w:cs="仿宋_GB2312"/>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1.项目立项情况分析</w:t>
      </w:r>
      <w:r>
        <w:rPr>
          <w:rFonts w:hint="eastAsia" w:ascii="仿宋_GB2312" w:hAnsi="仿宋_GB2312" w:eastAsia="仿宋_GB2312" w:cs="仿宋_GB2312"/>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（1）立项依据充分性</w:t>
      </w:r>
      <w:r>
        <w:rPr>
          <w:rFonts w:hint="eastAsia" w:ascii="仿宋_GB2312" w:hAnsi="仿宋_GB2312" w:eastAsia="仿宋_GB2312" w:cs="仿宋_GB2312"/>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立项符合国家卫生健康委员会办公厅、财政部办公厅、国家中医药管理局办公室下发的《关于公布第三批住院医师规范化培训基地名录的通知》（国卫办科教函〔2020〕970号）中：确认和田地区人民医院为第三批培训基地，“详见文件中附件一，序号178，新疆维吾尔自治区和田地区人民医院”；符合行业发展规划和政策要求；本项目立项符合《国家卫生健康委员会单位配置内设机构和人员编制规定》中职责范围中的“注重预防为主和健康促进，加强预防控制重大疾病工作，积极应对人口老龄化，健全健康服务体系”，属于我单位履职所需根据《财政资金直接支付申请书》，本项目资金性质为“公共财政预算”功能分类为“2100199其他卫生健康管理事务支出”经济分类为“30305生活补助”属于公共财政支持范围，符合中央、地方事权支出责任划分原则；经检查我单位财政应用平台指标，本项目不存在重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综上所述，本指标满分为5分，根据评分标准得5分，本项目立项依据充分。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（2）立项程序规范性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和田地区财政局《关于提前下达2024年中央医疗服务与保障能力提升（卫生健康人才培养）补助资金的通知》（和地财社〔2023〕71号）文件要求，制定《和田地区人民医院2024年卫生健康人才培养住院医师规范化培训项目实施方案》文件要求实施项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综上所述，本指标满分为3分，根据评分标准得3分，本项目立项程序规范。</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2.绩效目标情况分析</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（1）绩效目标合理性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已设置年度绩效目标，具体内容为“开展301名学员的培训，其中住院医师规范化培训学员189人，助理全科医生102人，全科医生转岗培训学员10人，项目总投资为714.24万元，项目计划于2024年12月完成。通过本项目的实施，可有效提高学员临床服务能力，待项目实施完成，争取使受益人群满意度不低于95%”；本项目实际工作内容为：截至2024年12月31日，本项目实际支出资金684.87万元，预算执行率为95.89%。实际已完成开展307名学员的培训，其中住院医师规范化培训学员189人，助理全科医生102人，全科医生转岗培训学员16人的任务，达到了有效提高学员临床服务能力，受益人群满意度达到98.1%；绩效目标与实际工作内容一致，两者具有相关性;本项目按照绩效目标完成了数量指标、质量指标、时效指标、成本指标，有效提高学员临床服务能力，年度绩效目标完成，预期产出效益和效果符合正常的业绩水平。</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综上所述，本指标满分为4分，根据评分标准得4分，本项目绩效目标设置合理。</w:t>
      </w:r>
    </w:p>
    <w:p w14:paraId="0DE43D96">
      <w:pPr>
        <w:keepNext w:val="0"/>
        <w:keepLines w:val="0"/>
        <w:pageBreakBefore w:val="0"/>
        <w:widowControl w:val="0"/>
        <w:tabs>
          <w:tab w:val="center" w:pos="4295"/>
        </w:tabs>
        <w:kinsoku/>
        <w:wordWrap/>
        <w:overflowPunct/>
        <w:topLinePunct w:val="0"/>
        <w:autoSpaceDE/>
        <w:autoSpaceDN/>
        <w:bidi w:val="0"/>
        <w:adjustRightInd/>
        <w:snapToGrid/>
        <w:spacing w:line="58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（2）绩效指标明确性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6个，三级指标11个，定量指标9个，定性指标2个，指标量化率为81.82%，量化率达70.00%以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综上所述，本指标满分为3分，根据评分标准得3分，本项目所设置绩效指标明确。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3.资金投入情况分析</w:t>
      </w:r>
      <w:r>
        <w:rPr>
          <w:sz w:val="32"/>
          <w:szCs w:val="32"/>
        </w:rPr>
        <w:cr/>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（1）预算编制科学性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编制：项目资金用于在培住院医师、助理全科医生、全科医生转岗学员及2024年新招收住院医师、助理全科医生，根据《和田地区人民医院住院（全科）医师规范化培训专项资金管理办法》（和医行发〔2021〕27号）、《和田地区人民医院助理全科医生培训专项资金管理办法》（和医行发〔2021〕26号）及《和田地区人民医院住院医师规范化培训学员补助标准》（和医院办发〔2024〕20号）执行，补助资金用于学员生活补助，根据学员是否取得执业证书发放，及用于师资能力提升、带教补贴、必要教学教材、实践技能培训、优秀人员奖励、住院医师考试、考核、专业技能比赛、管理平台服务费用等相关费用。中央财政培训资金不足部分由自治区财政、培训基地自筹，保障培训质量和学员培训期间待遇。（详细描述预算测算的过程，存在询价的需说明询价程序和询价单位等），即预算编制较科学且经过论证；</w:t>
      </w:r>
    </w:p>
    <w:p w14:paraId="6239D935">
      <w:pPr>
        <w:keepNext w:val="0"/>
        <w:keepLines w:val="0"/>
        <w:pageBreakBefore w:val="0"/>
        <w:widowControl w:val="0"/>
        <w:tabs>
          <w:tab w:val="center" w:pos="4295"/>
        </w:tabs>
        <w:kinsoku/>
        <w:wordWrap/>
        <w:overflowPunct/>
        <w:topLinePunct w:val="0"/>
        <w:autoSpaceDE/>
        <w:autoSpaceDN/>
        <w:bidi w:val="0"/>
        <w:adjustRightInd/>
        <w:snapToGrid/>
        <w:spacing w:line="580" w:lineRule="exact"/>
        <w:ind w:firstLine="567"/>
        <w:textAlignment w:val="auto"/>
        <w:rPr>
          <w:rStyle w:val="19"/>
          <w:rFonts w:hint="eastAsia" w:ascii="楷体" w:hAnsi="楷体" w:eastAsia="楷体"/>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预算申请内容为根据《和田地区人民医院住院（全科）医师规范化培训专项资金管理办法》（和医行发〔2021〕27号）、《和田地区人民医院助理全科医生培训专项资金管理办法》（和医行发〔2021〕26号）及《和田地区人民医院住院医师规范化培训学员补助标准》（和医院办发〔2024〕20号）执行，补助资金用于学员生活补助，根据学员是否取得执业证书发放，及用于师资能力提升、带教补贴、必要教学教材、实践技能培训、优秀人员奖励、住院医师考试、考核、专业技能比赛、管理平台服务费用等相关费用，项目实际内容为根据《和田地区人民医院住院（全科）医师规范化培训专项资金管理办法》（和医行发〔2021〕27号）、《和田地区人民医院助理全科医生培训专项资金管理办法》（和医行发〔2021〕26号）及《和田地区人民医院住院医师规范化培训学员补助标准》（和医院办发〔2024〕20号）执行，补助资金用于学员生活补助，根据学员是否取得执业证书发放，及用于师资能力提升、带教补贴、必要教学教材、实践技能培训、优秀人员奖励、住院医师考试、考核、专业技能比赛、管理平台服务费用等相关费用，预算申请与《2024年卫生健康人才培养项目实施方案》中涉及的项目内容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本项目预算申请资金714.24万元，我单位在预算申请中严格按照单位标准和数量进行核算。本项目预算额度测算依据充分，严格按照标准编制，预算确定资金量与实际工作任务相匹配；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综上所述，本指标满分为4分，根据评分标准4分，本项目预算编制科学。</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（2）资金分配合理性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分配资金以《关于申请2024年卫生健康人才培养项目资金的请示》和《2024年卫生健康人才培养项目实施方案》为依据进行资金分配，预算资金分配依据充分。根据《提前下达2024年卫生健康人才培养补助资金》（和地财社〔2023〕71号）、《2024年中央医疗服务与保障能力提升〔卫生健康人才培养〕补助资金》（和地财社〔2024〕18号）、《2023提前下达中央年医疗服务与保障能力提升〔卫生健康人才培养〕补助资金》（和地财社〔2022〕68号）文件显示，本项目实际到位资金714.24万元，实际分配资金与我单位提交申请的资金额度一致，资金分配额度合理，与我单位实际需求相适应。</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06DAAFB4">
      <w:pPr>
        <w:keepNext w:val="0"/>
        <w:keepLines w:val="0"/>
        <w:pageBreakBefore w:val="0"/>
        <w:widowControl w:val="0"/>
        <w:kinsoku/>
        <w:wordWrap/>
        <w:overflowPunct/>
        <w:topLinePunct w:val="0"/>
        <w:autoSpaceDE/>
        <w:autoSpaceDN/>
        <w:bidi w:val="0"/>
        <w:adjustRightInd/>
        <w:snapToGrid/>
        <w:spacing w:line="580" w:lineRule="exact"/>
        <w:ind w:firstLine="567" w:firstLineChars="181"/>
        <w:textAlignment w:val="auto"/>
        <w:rPr>
          <w:rFonts w:hint="eastAsia"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w:t>
      </w:r>
      <w:r>
        <w:rPr>
          <w:rFonts w:hint="eastAsia" w:ascii="楷体_GB2312" w:hAnsi="楷体_GB2312" w:eastAsia="楷体_GB2312" w:cs="楷体_GB2312"/>
          <w:b/>
          <w:spacing w:val="-4"/>
          <w:sz w:val="32"/>
          <w:szCs w:val="32"/>
          <w:lang w:val="en-US" w:eastAsia="zh-CN"/>
        </w:rPr>
        <w:t>二</w:t>
      </w:r>
      <w:r>
        <w:rPr>
          <w:rFonts w:hint="eastAsia" w:ascii="楷体_GB2312" w:hAnsi="楷体_GB2312" w:eastAsia="楷体_GB2312" w:cs="楷体_GB2312"/>
          <w:b/>
          <w:spacing w:val="-4"/>
          <w:sz w:val="32"/>
          <w:szCs w:val="32"/>
        </w:rPr>
        <w:t>）项目过程情况</w:t>
      </w:r>
    </w:p>
    <w:p w14:paraId="52C9EF85">
      <w:pPr>
        <w:keepNext w:val="0"/>
        <w:keepLines w:val="0"/>
        <w:pageBreakBefore w:val="0"/>
        <w:widowControl w:val="0"/>
        <w:tabs>
          <w:tab w:val="center" w:pos="4295"/>
        </w:tabs>
        <w:kinsoku/>
        <w:wordWrap/>
        <w:overflowPunct/>
        <w:topLinePunct w:val="0"/>
        <w:autoSpaceDE/>
        <w:autoSpaceDN/>
        <w:bidi w:val="0"/>
        <w:adjustRightInd/>
        <w:snapToGrid/>
        <w:spacing w:line="580" w:lineRule="exact"/>
        <w:ind w:firstLine="567"/>
        <w:textAlignment w:val="auto"/>
        <w:rPr>
          <w:rStyle w:val="19"/>
          <w:rFonts w:hint="eastAsia" w:ascii="仿宋_GB2312" w:hAnsi="仿宋_GB2312" w:eastAsia="仿宋_GB2312" w:cs="仿宋_GB2312"/>
          <w:b w:val="0"/>
          <w:bCs w:val="0"/>
          <w:spacing w:val="-4"/>
          <w:sz w:val="32"/>
          <w:szCs w:val="32"/>
          <w:lang w:val="en-US" w:eastAsia="zh-CN"/>
        </w:rPr>
      </w:pPr>
      <w:r>
        <w:rPr>
          <w:rStyle w:val="19"/>
          <w:rFonts w:hint="eastAsia" w:ascii="仿宋_GB2312" w:hAnsi="仿宋_GB2312" w:eastAsia="仿宋_GB2312" w:cs="仿宋_GB2312"/>
          <w:b w:val="0"/>
          <w:bCs w:val="0"/>
          <w:spacing w:val="-4"/>
          <w:sz w:val="32"/>
          <w:szCs w:val="32"/>
        </w:rPr>
        <w:t>项目过程管理类指标由2个二级指标和5个三级指标构成，权重分19分，实际得分18.79分。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bookmarkStart w:id="0" w:name="_GoBack"/>
      <w:bookmarkEnd w:id="0"/>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1.资金管理情况分析</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（1）资金到位率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本项目预算资金为714.24万元，本级财政安排资金714.24万元，其他资金0万元，实际到位资金714.24万元，资金到位率=（实际到位资金/预算资金）×100%=（714.24/714.24）*100%=100%。得分=资金到位率*分值=100%*4=4分。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综上所述，本指标满分为4分，根据评分标准得4分，本项目资金分配合理。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（2）预算执行率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本项目实际支出资金684.87万元，预算执行率=（实际支出资金/实际到位资金）×100%=（684.87/714.24）*100%=95.89%。得分=预算执行率*分值=95.89%*5=4.79分。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综上所述，本指标满分为5分，根据评分标准得4.79分，本项目资金分配合理。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（3）资金使用合规性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和田地区人民医院单位资金管理办法》《和田地区人民医院专项资金管理办法》，资金的拨付有完整的审批程序和手续，资金实际使用方向与预算批复用途一致，不存在截留、挤占、挪用、虚列支出的情况。</w:t>
      </w:r>
    </w:p>
    <w:p w14:paraId="0C54477B">
      <w:pPr>
        <w:keepNext w:val="0"/>
        <w:keepLines w:val="0"/>
        <w:pageBreakBefore w:val="0"/>
        <w:widowControl w:val="0"/>
        <w:tabs>
          <w:tab w:val="center" w:pos="4295"/>
        </w:tabs>
        <w:kinsoku/>
        <w:wordWrap/>
        <w:overflowPunct/>
        <w:topLinePunct w:val="0"/>
        <w:autoSpaceDE/>
        <w:autoSpaceDN/>
        <w:bidi w:val="0"/>
        <w:adjustRightInd/>
        <w:snapToGrid/>
        <w:spacing w:line="58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p>
    <w:p w14:paraId="62036385">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8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lang w:val="en-US" w:eastAsia="zh-CN"/>
        </w:rPr>
        <w:t>2.</w:t>
      </w:r>
      <w:r>
        <w:rPr>
          <w:rStyle w:val="19"/>
          <w:rFonts w:hint="eastAsia" w:ascii="仿宋_GB2312" w:hAnsi="仿宋_GB2312" w:eastAsia="仿宋_GB2312" w:cs="仿宋_GB2312"/>
          <w:b/>
          <w:bCs/>
          <w:spacing w:val="-4"/>
          <w:sz w:val="32"/>
          <w:szCs w:val="32"/>
        </w:rPr>
        <w:t>组织实施情况分析</w:t>
      </w:r>
    </w:p>
    <w:p w14:paraId="4546F604">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8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（1）管理制度健全性</w:t>
      </w:r>
    </w:p>
    <w:p w14:paraId="62919AAC">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8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已制定《和田地区人民医院资金管理办法》《和田地区人民医院收支业务管理制度》《和田地区人民医院政府采购业务管理制度》《和田地区人民医院合同管理制度》，上述已建立的制度均符合行政事业单位内控管理要求，财务和业务管理制度合法、合规、完整，本项目执行符合上述制度规定。</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（2）制度执行有效性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2024年卫生健康人才培养住院医师规范化培训项目工作领导小组，张勇（党委副书记、院长）任组长，负责项目的组织工作；阿布都热合曼·吾布力（党委委员、副院长、主任医师）、任副组长，负责项目的实施工作；组员包括：许东浩（院长助理、医务部主任，主要负责项目监督管理、验收以及资金核拨等工作。</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7E554956">
      <w:pPr>
        <w:keepNext w:val="0"/>
        <w:keepLines w:val="0"/>
        <w:pageBreakBefore w:val="0"/>
        <w:widowControl w:val="0"/>
        <w:kinsoku/>
        <w:wordWrap/>
        <w:overflowPunct/>
        <w:topLinePunct w:val="0"/>
        <w:autoSpaceDE/>
        <w:autoSpaceDN/>
        <w:bidi w:val="0"/>
        <w:adjustRightInd/>
        <w:snapToGrid/>
        <w:spacing w:line="580" w:lineRule="exact"/>
        <w:ind w:firstLine="567" w:firstLineChars="181"/>
        <w:textAlignment w:val="auto"/>
        <w:rPr>
          <w:rFonts w:hint="eastAsia"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w:t>
      </w:r>
      <w:r>
        <w:rPr>
          <w:rFonts w:hint="eastAsia" w:ascii="楷体_GB2312" w:hAnsi="楷体_GB2312" w:eastAsia="楷体_GB2312" w:cs="楷体_GB2312"/>
          <w:b/>
          <w:spacing w:val="-4"/>
          <w:sz w:val="32"/>
          <w:szCs w:val="32"/>
          <w:lang w:val="en-US" w:eastAsia="zh-CN"/>
        </w:rPr>
        <w:t>三</w:t>
      </w:r>
      <w:r>
        <w:rPr>
          <w:rFonts w:hint="eastAsia" w:ascii="楷体_GB2312" w:hAnsi="楷体_GB2312" w:eastAsia="楷体_GB2312" w:cs="楷体_GB2312"/>
          <w:b/>
          <w:spacing w:val="-4"/>
          <w:sz w:val="32"/>
          <w:szCs w:val="32"/>
        </w:rPr>
        <w:t>）项目产出情况</w:t>
      </w:r>
    </w:p>
    <w:p w14:paraId="6C580ABB">
      <w:pPr>
        <w:keepNext w:val="0"/>
        <w:keepLines w:val="0"/>
        <w:pageBreakBefore w:val="0"/>
        <w:widowControl w:val="0"/>
        <w:kinsoku/>
        <w:wordWrap/>
        <w:overflowPunct/>
        <w:topLinePunct w:val="0"/>
        <w:autoSpaceDE/>
        <w:autoSpaceDN/>
        <w:bidi w:val="0"/>
        <w:adjustRightInd/>
        <w:snapToGrid/>
        <w:spacing w:line="580" w:lineRule="exact"/>
        <w:ind w:firstLine="567"/>
        <w:textAlignment w:val="auto"/>
        <w:rPr>
          <w:rStyle w:val="19"/>
          <w:rFonts w:ascii="楷体" w:hAnsi="楷体" w:eastAsia="楷体"/>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项目产出类指标由4个二级指标和9个三级指标构成，权重分20分，实际得分16.72分。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1.数量指标完成情况分析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“培训住院医师人数”指标：预期指标值为≥189人，实际完成指标值为189人，指标完成率为100%。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“培训助理全科医生人数”指标：预期指标值为≥102人，实际完成指标值为102人，指标完成率为100%。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“培训全科医生转岗学员人数”指标：预期指标值为≥10人，实际完成指标值为16人，指标完成率为160%。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2.质量指标完成情况分析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“学员培训完成率”指标：预期指标值为≥90%，实际完成指标值为100%，指标完成率为100%。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3.时效指标完成情况分析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“资金支付及时率”指标：预期指标值为=100%，实际完成指标值为100%，指标完成率为100%。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“项目完成时间”指标：预期指标值为2024年12月底前，实际完成指标值为2024年12月31日，指标完成率为100%。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4.成本指标完成情况分析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“住院医师规范化培训费用”指标：预期指标值为≤514.18万元，实际完成指标值为514.18万元，指标完成率为100%。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“助理全科医生培训费用”指标：预期指标值为≤170.81万元，实际完成指标值为159.9万元，指标完成率为93.61%。</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“全科医生转岗培训费用”指标：预期指标值为≤29.25万元，实际完成指标值为10.79万元，指标完成率为36.89%。</w:t>
      </w:r>
    </w:p>
    <w:p w14:paraId="4A6E4360">
      <w:pPr>
        <w:keepNext w:val="0"/>
        <w:keepLines w:val="0"/>
        <w:pageBreakBefore w:val="0"/>
        <w:widowControl w:val="0"/>
        <w:kinsoku/>
        <w:wordWrap/>
        <w:overflowPunct/>
        <w:topLinePunct w:val="0"/>
        <w:autoSpaceDE/>
        <w:autoSpaceDN/>
        <w:bidi w:val="0"/>
        <w:adjustRightInd/>
        <w:snapToGrid/>
        <w:spacing w:line="580" w:lineRule="exact"/>
        <w:ind w:firstLine="567" w:firstLineChars="181"/>
        <w:textAlignment w:val="auto"/>
        <w:rPr>
          <w:rFonts w:ascii="楷体" w:hAnsi="楷体" w:eastAsia="楷体"/>
          <w:b/>
          <w:spacing w:val="-4"/>
          <w:sz w:val="32"/>
          <w:szCs w:val="32"/>
        </w:rPr>
      </w:pPr>
      <w:r>
        <w:rPr>
          <w:rFonts w:hint="eastAsia" w:ascii="楷体_GB2312" w:hAnsi="楷体_GB2312" w:eastAsia="楷体_GB2312" w:cs="楷体_GB2312"/>
          <w:b/>
          <w:spacing w:val="-4"/>
          <w:sz w:val="32"/>
          <w:szCs w:val="32"/>
        </w:rPr>
        <w:t>（</w:t>
      </w:r>
      <w:r>
        <w:rPr>
          <w:rFonts w:hint="eastAsia" w:ascii="楷体_GB2312" w:hAnsi="楷体_GB2312" w:eastAsia="楷体_GB2312" w:cs="楷体_GB2312"/>
          <w:b/>
          <w:spacing w:val="-4"/>
          <w:sz w:val="32"/>
          <w:szCs w:val="32"/>
          <w:lang w:val="en-US" w:eastAsia="zh-CN"/>
        </w:rPr>
        <w:t>四</w:t>
      </w:r>
      <w:r>
        <w:rPr>
          <w:rFonts w:hint="eastAsia" w:ascii="楷体_GB2312" w:hAnsi="楷体_GB2312" w:eastAsia="楷体_GB2312" w:cs="楷体_GB2312"/>
          <w:b/>
          <w:spacing w:val="-4"/>
          <w:sz w:val="32"/>
          <w:szCs w:val="32"/>
        </w:rPr>
        <w:t>）</w:t>
      </w:r>
      <w:r>
        <w:rPr>
          <w:rStyle w:val="19"/>
          <w:rFonts w:hint="eastAsia" w:ascii="楷体_GB2312" w:hAnsi="楷体_GB2312" w:eastAsia="楷体_GB2312" w:cs="楷体_GB2312"/>
          <w:spacing w:val="-4"/>
          <w:sz w:val="32"/>
          <w:szCs w:val="32"/>
        </w:rPr>
        <w:t>项目效益情况</w:t>
      </w:r>
    </w:p>
    <w:p w14:paraId="710635E3">
      <w:pPr>
        <w:keepNext w:val="0"/>
        <w:keepLines w:val="0"/>
        <w:pageBreakBefore w:val="0"/>
        <w:widowControl w:val="0"/>
        <w:kinsoku/>
        <w:wordWrap/>
        <w:overflowPunct/>
        <w:topLinePunct w:val="0"/>
        <w:autoSpaceDE/>
        <w:autoSpaceDN/>
        <w:bidi w:val="0"/>
        <w:adjustRightInd/>
        <w:snapToGrid/>
        <w:spacing w:line="580" w:lineRule="exact"/>
        <w:ind w:firstLine="567"/>
        <w:textAlignment w:val="auto"/>
        <w:rPr>
          <w:rStyle w:val="19"/>
          <w:rFonts w:hint="eastAsia" w:ascii="楷体" w:hAnsi="楷体" w:eastAsia="楷体"/>
          <w:spacing w:val="-4"/>
          <w:sz w:val="32"/>
          <w:szCs w:val="32"/>
        </w:rPr>
      </w:pPr>
      <w:r>
        <w:rPr>
          <w:rStyle w:val="19"/>
          <w:rFonts w:hint="eastAsia" w:ascii="仿宋_GB2312" w:hAnsi="仿宋_GB2312" w:eastAsia="仿宋_GB2312" w:cs="仿宋_GB2312"/>
          <w:b w:val="0"/>
          <w:bCs w:val="0"/>
          <w:spacing w:val="-4"/>
          <w:sz w:val="32"/>
          <w:szCs w:val="32"/>
        </w:rPr>
        <w:t>项目效益类指标由2个二级指标和2个三级指标构成，权重分40分，实际得分40分。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1.经济效益完成情况分析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2.社会效益完成情况分析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“提高学员临床服务能力”指标：预期指标值为有效提升，实际完成指标值为基本达成目标，指标完成率为100%。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3.生态效益完成情况分析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4.可持续影响完成情况分析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5.满意度指标完成情况分析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“受益学员满意度”指标：预期指标值为≥95%，实际完成指标值为98.1%，指标完成率为100%。</w:t>
      </w:r>
    </w:p>
    <w:p w14:paraId="629E2FCC">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4D3134D0">
      <w:pPr>
        <w:keepNext w:val="0"/>
        <w:keepLines w:val="0"/>
        <w:pageBreakBefore w:val="0"/>
        <w:widowControl w:val="0"/>
        <w:kinsoku/>
        <w:wordWrap/>
        <w:overflowPunct/>
        <w:topLinePunct w:val="0"/>
        <w:autoSpaceDE/>
        <w:autoSpaceDN/>
        <w:bidi w:val="0"/>
        <w:adjustRightInd/>
        <w:snapToGrid/>
        <w:spacing w:line="58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本项目年初预算资金总额为714.24万元，全年预算数为714.24万元，全年执行数为684.87万元，预算执行率为95.89%。</w:t>
      </w:r>
      <w:r>
        <w:rPr>
          <w:sz w:val="32"/>
          <w:szCs w:val="32"/>
        </w:rPr>
        <w:cr/>
      </w:r>
      <w:r>
        <w:rPr>
          <w:rFonts w:hint="eastAsia"/>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本项目共设置三级指标数量11个，满分指标数量8个，扣分指标数量3个，经分析计算所有三级指标完成率得出，本项目总体完成率为99.14%。</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综上所述本项目预算执行率与总体完成率之间的偏差为3.25%。</w:t>
      </w:r>
    </w:p>
    <w:p w14:paraId="0EBBA78A">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040651E5">
      <w:pPr>
        <w:keepNext w:val="0"/>
        <w:keepLines w:val="0"/>
        <w:pageBreakBefore w:val="0"/>
        <w:widowControl w:val="0"/>
        <w:kinsoku/>
        <w:wordWrap/>
        <w:overflowPunct/>
        <w:topLinePunct w:val="0"/>
        <w:autoSpaceDE/>
        <w:autoSpaceDN/>
        <w:bidi w:val="0"/>
        <w:adjustRightInd/>
        <w:snapToGrid/>
        <w:spacing w:line="580" w:lineRule="exact"/>
        <w:ind w:firstLine="567"/>
        <w:textAlignment w:val="auto"/>
        <w:rPr>
          <w:rStyle w:val="19"/>
          <w:rFonts w:hint="eastAsia" w:ascii="楷体_GB2312" w:hAnsi="楷体_GB2312" w:eastAsia="楷体_GB2312" w:cs="楷体_GB2312"/>
          <w:b/>
          <w:bCs/>
          <w:spacing w:val="-4"/>
          <w:sz w:val="32"/>
          <w:szCs w:val="32"/>
        </w:rPr>
      </w:pPr>
      <w:r>
        <w:rPr>
          <w:rStyle w:val="19"/>
          <w:rFonts w:hint="eastAsia" w:ascii="楷体_GB2312" w:hAnsi="楷体_GB2312" w:eastAsia="楷体_GB2312" w:cs="楷体_GB2312"/>
          <w:b/>
          <w:bCs/>
          <w:spacing w:val="-4"/>
          <w:sz w:val="32"/>
          <w:szCs w:val="32"/>
        </w:rPr>
        <w:t>（一）主要经验及做法</w:t>
      </w:r>
    </w:p>
    <w:p w14:paraId="1DFA2824">
      <w:pPr>
        <w:keepNext w:val="0"/>
        <w:keepLines w:val="0"/>
        <w:pageBreakBefore w:val="0"/>
        <w:widowControl w:val="0"/>
        <w:kinsoku/>
        <w:wordWrap/>
        <w:overflowPunct/>
        <w:topLinePunct w:val="0"/>
        <w:autoSpaceDE/>
        <w:autoSpaceDN/>
        <w:bidi w:val="0"/>
        <w:adjustRightInd/>
        <w:snapToGrid/>
        <w:spacing w:line="58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1.</w:t>
      </w:r>
      <w:r>
        <w:rPr>
          <w:rStyle w:val="19"/>
          <w:rFonts w:hint="eastAsia" w:ascii="仿宋_GB2312" w:hAnsi="仿宋_GB2312" w:eastAsia="仿宋_GB2312" w:cs="仿宋_GB2312"/>
          <w:b w:val="0"/>
          <w:bCs w:val="0"/>
          <w:spacing w:val="-4"/>
          <w:sz w:val="32"/>
          <w:szCs w:val="32"/>
        </w:rPr>
        <w:t>我单位以本次绩效评价为契机，建立健全预算项目管理制度，合理设置内部管理机构和岗位，明确职责权限，明确业务各个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w:t>
      </w:r>
      <w:r>
        <w:rPr>
          <w:rStyle w:val="19"/>
          <w:rFonts w:hint="eastAsia" w:ascii="仿宋_GB2312" w:hAnsi="仿宋_GB2312" w:eastAsia="仿宋_GB2312" w:cs="仿宋_GB2312"/>
          <w:b w:val="0"/>
          <w:bCs w:val="0"/>
          <w:spacing w:val="-4"/>
          <w:sz w:val="32"/>
          <w:szCs w:val="32"/>
        </w:rPr>
        <w:t>根据本单位年度工作计划，做好项目预算安排，编制项目工作计划与工作总结，建立预算编制，提升编制预算的计划性、科学性和规范性。提前撰写可执行报告，规范专项资金操作，严格控制开支范围，节约成本，提高效率。领导分工明确，明确单位内部各个业务归口管理责任，强化预算绩效意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w:t>
      </w:r>
      <w:r>
        <w:rPr>
          <w:rStyle w:val="19"/>
          <w:rFonts w:hint="eastAsia" w:ascii="仿宋_GB2312" w:hAnsi="仿宋_GB2312" w:eastAsia="仿宋_GB2312" w:cs="仿宋_GB2312"/>
          <w:b w:val="0"/>
          <w:bCs w:val="0"/>
          <w:spacing w:val="-4"/>
          <w:sz w:val="32"/>
          <w:szCs w:val="32"/>
        </w:rPr>
        <w:t>项目所设定的绩效目标符合国家相关法律法规，与部门职责紧密相关，合理设置内部管理机构和岗位，在项目指标设置等方面细化了绩效指标，指标内容清晰合理。明确职责权限，安排专人分别负责确定项目、总体协调沟通、全盘统筹、总体质量把关等工作，负责提供技术指导与支持，收集整理资料、审核数据、填报绩效目标内容等工作，明确业务各环节流程、时间要求、审批权限等，领导分工明确，建立预算编制，提升编制预算的计划性、科学性和规范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楷体_GB2312" w:hAnsi="楷体_GB2312" w:eastAsia="楷体_GB2312" w:cs="楷体_GB2312"/>
          <w:b/>
          <w:bCs/>
          <w:spacing w:val="-4"/>
          <w:sz w:val="32"/>
          <w:szCs w:val="32"/>
        </w:rPr>
        <w:t>（二）存在的问题及原因分析</w:t>
      </w:r>
      <w:r>
        <w:rPr>
          <w:rFonts w:hint="eastAsia" w:ascii="楷体_GB2312" w:hAnsi="楷体_GB2312" w:eastAsia="楷体_GB2312" w:cs="楷体_GB2312"/>
          <w:b/>
          <w:bCs/>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1.</w:t>
      </w:r>
      <w:r>
        <w:rPr>
          <w:rStyle w:val="19"/>
          <w:rFonts w:hint="eastAsia" w:ascii="仿宋_GB2312" w:hAnsi="仿宋_GB2312" w:eastAsia="仿宋_GB2312" w:cs="仿宋_GB2312"/>
          <w:b w:val="0"/>
          <w:bCs w:val="0"/>
          <w:spacing w:val="-4"/>
          <w:sz w:val="32"/>
          <w:szCs w:val="32"/>
        </w:rPr>
        <w:t>对各项指标和指标值需进一步优化、完善，主要在细化、量化上改进。</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2.</w:t>
      </w:r>
      <w:r>
        <w:rPr>
          <w:rStyle w:val="19"/>
          <w:rFonts w:hint="eastAsia" w:ascii="仿宋_GB2312" w:hAnsi="仿宋_GB2312" w:eastAsia="仿宋_GB2312" w:cs="仿宋_GB2312"/>
          <w:b w:val="0"/>
          <w:bCs w:val="0"/>
          <w:spacing w:val="-4"/>
          <w:sz w:val="32"/>
          <w:szCs w:val="32"/>
        </w:rPr>
        <w:t>自评价工作还存在自我审定的局限性，会影响评价质量；缺少带着问题去评价的意识；现场评价的工作量少，后续效益评价具体措施和方法较少。</w:t>
      </w:r>
    </w:p>
    <w:p w14:paraId="0D9E52C6">
      <w:pPr>
        <w:keepNext w:val="0"/>
        <w:keepLines w:val="0"/>
        <w:pageBreakBefore w:val="0"/>
        <w:widowControl w:val="0"/>
        <w:kinsoku/>
        <w:wordWrap/>
        <w:overflowPunct/>
        <w:topLinePunct w:val="0"/>
        <w:autoSpaceDE/>
        <w:autoSpaceDN/>
        <w:bidi w:val="0"/>
        <w:adjustRightInd/>
        <w:snapToGrid/>
        <w:spacing w:line="58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lang w:val="en-US" w:eastAsia="zh-CN"/>
        </w:rPr>
        <w:t>3.</w:t>
      </w:r>
      <w:r>
        <w:rPr>
          <w:rStyle w:val="19"/>
          <w:rFonts w:hint="eastAsia" w:ascii="仿宋_GB2312" w:hAnsi="仿宋_GB2312" w:eastAsia="仿宋_GB2312" w:cs="仿宋_GB2312"/>
          <w:b w:val="0"/>
          <w:bCs w:val="0"/>
          <w:spacing w:val="-4"/>
          <w:sz w:val="32"/>
          <w:szCs w:val="32"/>
        </w:rPr>
        <w:t>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4.</w:t>
      </w:r>
      <w:r>
        <w:rPr>
          <w:rStyle w:val="19"/>
          <w:rFonts w:hint="eastAsia" w:ascii="仿宋_GB2312" w:hAnsi="仿宋_GB2312" w:eastAsia="仿宋_GB2312" w:cs="仿宋_GB2312"/>
          <w:b w:val="0"/>
          <w:bCs w:val="0"/>
          <w:spacing w:val="-4"/>
          <w:sz w:val="32"/>
          <w:szCs w:val="32"/>
        </w:rPr>
        <w:t>项目实施方案中，项目绩效目标内容制定不够完整，对项目具体实施指导性不强；资金使用合规，无截留、挪用等现象，资金使用产生效益。存在资金开支时间进度不均衡的问题。</w:t>
      </w:r>
    </w:p>
    <w:p w14:paraId="7B332C2E">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06216E69">
      <w:pPr>
        <w:keepNext w:val="0"/>
        <w:keepLines w:val="0"/>
        <w:pageBreakBefore w:val="0"/>
        <w:widowControl w:val="0"/>
        <w:kinsoku/>
        <w:wordWrap/>
        <w:overflowPunct/>
        <w:topLinePunct w:val="0"/>
        <w:autoSpaceDE/>
        <w:autoSpaceDN/>
        <w:bidi w:val="0"/>
        <w:adjustRightInd/>
        <w:snapToGrid/>
        <w:spacing w:line="580" w:lineRule="exact"/>
        <w:ind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楷体_GB2312" w:hAnsi="楷体_GB2312" w:eastAsia="楷体_GB2312" w:cs="楷体_GB2312"/>
          <w:b/>
          <w:bCs/>
          <w:spacing w:val="-4"/>
          <w:sz w:val="32"/>
          <w:szCs w:val="32"/>
        </w:rPr>
        <w:t>（一）</w:t>
      </w:r>
      <w:r>
        <w:rPr>
          <w:rStyle w:val="19"/>
          <w:rFonts w:hint="eastAsia" w:ascii="仿宋_GB2312" w:hAnsi="仿宋_GB2312" w:eastAsia="仿宋_GB2312" w:cs="仿宋_GB2312"/>
          <w:b w:val="0"/>
          <w:bCs w:val="0"/>
          <w:spacing w:val="-4"/>
          <w:sz w:val="32"/>
          <w:szCs w:val="32"/>
        </w:rPr>
        <w:t>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楷体_GB2312" w:hAnsi="楷体_GB2312" w:eastAsia="楷体_GB2312" w:cs="楷体_GB2312"/>
          <w:b/>
          <w:bCs/>
          <w:spacing w:val="-4"/>
          <w:sz w:val="32"/>
          <w:szCs w:val="32"/>
        </w:rPr>
        <w:t>(二）</w:t>
      </w:r>
      <w:r>
        <w:rPr>
          <w:rStyle w:val="19"/>
          <w:rFonts w:hint="eastAsia" w:ascii="仿宋_GB2312" w:hAnsi="仿宋_GB2312" w:eastAsia="仿宋_GB2312" w:cs="仿宋_GB2312"/>
          <w:b w:val="0"/>
          <w:bCs w:val="0"/>
          <w:spacing w:val="-4"/>
          <w:sz w:val="32"/>
          <w:szCs w:val="32"/>
        </w:rPr>
        <w:t>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楷体_GB2312" w:hAnsi="楷体_GB2312" w:eastAsia="楷体_GB2312" w:cs="楷体_GB2312"/>
          <w:b/>
          <w:bCs/>
          <w:spacing w:val="-4"/>
          <w:sz w:val="32"/>
          <w:szCs w:val="32"/>
        </w:rPr>
        <w:t>（三）</w:t>
      </w:r>
      <w:r>
        <w:rPr>
          <w:rStyle w:val="19"/>
          <w:rFonts w:hint="eastAsia" w:ascii="仿宋_GB2312" w:hAnsi="仿宋_GB2312" w:eastAsia="仿宋_GB2312" w:cs="仿宋_GB2312"/>
          <w:b w:val="0"/>
          <w:bCs w:val="0"/>
          <w:spacing w:val="-4"/>
          <w:sz w:val="32"/>
          <w:szCs w:val="32"/>
        </w:rPr>
        <w:t>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楷体_GB2312" w:hAnsi="楷体_GB2312" w:eastAsia="楷体_GB2312" w:cs="楷体_GB2312"/>
          <w:b/>
          <w:bCs/>
          <w:spacing w:val="-4"/>
          <w:sz w:val="32"/>
          <w:szCs w:val="32"/>
        </w:rPr>
        <w:t>（四）</w:t>
      </w:r>
      <w:r>
        <w:rPr>
          <w:rStyle w:val="19"/>
          <w:rFonts w:hint="eastAsia" w:ascii="仿宋_GB2312" w:hAnsi="仿宋_GB2312" w:eastAsia="仿宋_GB2312" w:cs="仿宋_GB2312"/>
          <w:b w:val="0"/>
          <w:bCs w:val="0"/>
          <w:spacing w:val="-4"/>
          <w:sz w:val="32"/>
          <w:szCs w:val="32"/>
        </w:rPr>
        <w:t>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14:paraId="1CAC30DD">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3236264B">
      <w:pPr>
        <w:keepNext w:val="0"/>
        <w:keepLines w:val="0"/>
        <w:pageBreakBefore w:val="0"/>
        <w:widowControl w:val="0"/>
        <w:kinsoku/>
        <w:wordWrap/>
        <w:overflowPunct/>
        <w:topLinePunct w:val="0"/>
        <w:autoSpaceDE/>
        <w:autoSpaceDN/>
        <w:bidi w:val="0"/>
        <w:adjustRightInd/>
        <w:snapToGrid/>
        <w:spacing w:line="580" w:lineRule="exact"/>
        <w:ind w:firstLine="567"/>
        <w:textAlignment w:val="auto"/>
        <w:rPr>
          <w:rStyle w:val="19"/>
          <w:rFonts w:hint="eastAsia" w:ascii="楷体" w:hAnsi="楷体" w:eastAsia="楷体"/>
          <w:b w:val="0"/>
          <w:bCs w:val="0"/>
          <w:spacing w:val="-4"/>
          <w:sz w:val="32"/>
          <w:szCs w:val="32"/>
        </w:rPr>
      </w:pPr>
      <w:r>
        <w:rPr>
          <w:rStyle w:val="19"/>
          <w:rFonts w:hint="eastAsia" w:ascii="楷体_GB2312" w:hAnsi="楷体_GB2312" w:eastAsia="楷体_GB2312" w:cs="楷体_GB2312"/>
          <w:b/>
          <w:bCs/>
          <w:spacing w:val="-4"/>
          <w:sz w:val="32"/>
          <w:szCs w:val="32"/>
        </w:rPr>
        <w:t>（一）</w:t>
      </w:r>
      <w:r>
        <w:rPr>
          <w:rStyle w:val="19"/>
          <w:rFonts w:hint="eastAsia" w:ascii="仿宋_GB2312" w:hAnsi="仿宋_GB2312" w:eastAsia="仿宋_GB2312" w:cs="仿宋_GB2312"/>
          <w:b w:val="0"/>
          <w:bCs w:val="0"/>
          <w:spacing w:val="-4"/>
          <w:sz w:val="32"/>
          <w:szCs w:val="32"/>
        </w:rPr>
        <w:t>本项目部分间接产生的效果无法准确在短期内衡量，因此很难认定项目产生的全部效果。通过指标来反映绩效，指标的科学性和全面性需要不断地完善和研究。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楷体_GB2312" w:hAnsi="楷体_GB2312" w:eastAsia="楷体_GB2312" w:cs="楷体_GB2312"/>
          <w:b/>
          <w:bCs/>
          <w:spacing w:val="-4"/>
          <w:sz w:val="32"/>
          <w:szCs w:val="32"/>
        </w:rPr>
        <w:t>（二）</w:t>
      </w:r>
      <w:r>
        <w:rPr>
          <w:rStyle w:val="19"/>
          <w:rFonts w:hint="eastAsia" w:ascii="仿宋_GB2312" w:hAnsi="仿宋_GB2312" w:eastAsia="仿宋_GB2312" w:cs="仿宋_GB2312"/>
          <w:b w:val="0"/>
          <w:bCs w:val="0"/>
          <w:spacing w:val="-4"/>
          <w:sz w:val="32"/>
          <w:szCs w:val="32"/>
        </w:rPr>
        <w:t>评价结果作为安排政府预算、完善政策和改进管理的重要依据。原则上，对评价等级为优、良的，根据情况予以支持；对评价等级为中、差的，要完善政策、改进管理，根据情况核减预算。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楷体_GB2312" w:hAnsi="楷体_GB2312" w:eastAsia="楷体_GB2312" w:cs="楷体_GB2312"/>
          <w:b/>
          <w:bCs/>
          <w:spacing w:val="-4"/>
          <w:sz w:val="32"/>
          <w:szCs w:val="32"/>
        </w:rPr>
        <w:t>（三）</w:t>
      </w:r>
      <w:r>
        <w:rPr>
          <w:rStyle w:val="19"/>
          <w:rFonts w:hint="eastAsia" w:ascii="仿宋_GB2312" w:hAnsi="仿宋_GB2312" w:eastAsia="仿宋_GB2312" w:cs="仿宋_GB2312"/>
          <w:b w:val="0"/>
          <w:bCs w:val="0"/>
          <w:spacing w:val="-4"/>
          <w:sz w:val="32"/>
          <w:szCs w:val="32"/>
        </w:rPr>
        <w:t>评价结果分别编入政府决算和部门预算，报送本级人民代表大会常务委员会，并依法予以公开。</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楷体_GB2312" w:hAnsi="楷体_GB2312" w:eastAsia="楷体_GB2312" w:cs="楷体_GB2312"/>
          <w:b/>
          <w:bCs/>
          <w:spacing w:val="-4"/>
          <w:sz w:val="32"/>
          <w:szCs w:val="32"/>
        </w:rPr>
        <w:t>（四）</w:t>
      </w:r>
      <w:r>
        <w:rPr>
          <w:rStyle w:val="19"/>
          <w:rFonts w:hint="eastAsia" w:ascii="仿宋_GB2312" w:hAnsi="仿宋_GB2312" w:eastAsia="仿宋_GB2312" w:cs="仿宋_GB2312"/>
          <w:b w:val="0"/>
          <w:bCs w:val="0"/>
          <w:spacing w:val="-4"/>
          <w:sz w:val="32"/>
          <w:szCs w:val="32"/>
        </w:rPr>
        <w:t>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楷体_GB2312" w:hAnsi="楷体_GB2312" w:eastAsia="楷体_GB2312" w:cs="楷体_GB2312"/>
          <w:b/>
          <w:bCs/>
          <w:spacing w:val="-4"/>
          <w:sz w:val="32"/>
          <w:szCs w:val="32"/>
        </w:rPr>
        <w:t>（五）</w:t>
      </w:r>
      <w:r>
        <w:rPr>
          <w:rStyle w:val="19"/>
          <w:rFonts w:hint="eastAsia" w:ascii="仿宋_GB2312" w:hAnsi="仿宋_GB2312" w:eastAsia="仿宋_GB2312" w:cs="仿宋_GB2312"/>
          <w:b w:val="0"/>
          <w:bCs w:val="0"/>
          <w:spacing w:val="-4"/>
          <w:sz w:val="32"/>
          <w:szCs w:val="32"/>
        </w:rPr>
        <w:t>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AFCDABA">
      <w:pPr>
        <w:spacing w:line="540" w:lineRule="exact"/>
        <w:ind w:firstLine="567"/>
        <w:rPr>
          <w:rStyle w:val="19"/>
          <w:rFonts w:ascii="仿宋" w:hAnsi="仿宋" w:eastAsia="仿宋"/>
          <w:b w:val="0"/>
          <w:spacing w:val="-4"/>
          <w:sz w:val="32"/>
          <w:szCs w:val="32"/>
        </w:rPr>
      </w:pPr>
    </w:p>
    <w:sectPr>
      <w:footerReference r:id="rId3" w:type="default"/>
      <w:pgSz w:w="11906" w:h="16838"/>
      <w:pgMar w:top="2098" w:right="1531" w:bottom="1984"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4ABC735">
        <w:pPr>
          <w:pStyle w:val="12"/>
          <w:jc w:val="center"/>
        </w:pPr>
        <w:r>
          <w:fldChar w:fldCharType="begin"/>
        </w:r>
        <w:r>
          <w:instrText xml:space="preserve">PAGE   \* MERGEFORMAT</w:instrText>
        </w:r>
        <w:r>
          <w:fldChar w:fldCharType="separate"/>
        </w:r>
        <w:r>
          <w:rPr>
            <w:lang w:val="zh-CN"/>
          </w:rPr>
          <w:t>1</w:t>
        </w:r>
        <w:r>
          <w:fldChar w:fldCharType="end"/>
        </w:r>
      </w:p>
    </w:sdtContent>
  </w:sdt>
  <w:p w14:paraId="494F845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66D89E"/>
    <w:multiLevelType w:val="singleLevel"/>
    <w:tmpl w:val="0E66D89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kZWZkYjhlZmU1YjY3NzU2ZWY2NTdhZTIwMzY2MTEifQ=="/>
  </w:docVars>
  <w:rsids>
    <w:rsidRoot w:val="00000000"/>
    <w:rsid w:val="03337E7C"/>
    <w:rsid w:val="064C0A4F"/>
    <w:rsid w:val="0B5C2A3F"/>
    <w:rsid w:val="103A52B9"/>
    <w:rsid w:val="143533EF"/>
    <w:rsid w:val="16225C7A"/>
    <w:rsid w:val="16601DB0"/>
    <w:rsid w:val="177A6D05"/>
    <w:rsid w:val="1DA8502D"/>
    <w:rsid w:val="1DE57613"/>
    <w:rsid w:val="1EF328AA"/>
    <w:rsid w:val="242B504B"/>
    <w:rsid w:val="265026DD"/>
    <w:rsid w:val="2BC5112A"/>
    <w:rsid w:val="2CF06633"/>
    <w:rsid w:val="2D6A3D37"/>
    <w:rsid w:val="2FD85DB7"/>
    <w:rsid w:val="346559BF"/>
    <w:rsid w:val="362E6AAE"/>
    <w:rsid w:val="3C256911"/>
    <w:rsid w:val="3CF133DC"/>
    <w:rsid w:val="40900366"/>
    <w:rsid w:val="46032B23"/>
    <w:rsid w:val="46893028"/>
    <w:rsid w:val="48BF210C"/>
    <w:rsid w:val="4B793C8B"/>
    <w:rsid w:val="4BDC71CD"/>
    <w:rsid w:val="4BE859C8"/>
    <w:rsid w:val="4C952132"/>
    <w:rsid w:val="4D183002"/>
    <w:rsid w:val="4DBD267D"/>
    <w:rsid w:val="4E4C23C6"/>
    <w:rsid w:val="4FE237A9"/>
    <w:rsid w:val="50431FAF"/>
    <w:rsid w:val="509E5922"/>
    <w:rsid w:val="554A5DD1"/>
    <w:rsid w:val="55E224D2"/>
    <w:rsid w:val="57A16858"/>
    <w:rsid w:val="5BC03093"/>
    <w:rsid w:val="5E1E08B7"/>
    <w:rsid w:val="69264A66"/>
    <w:rsid w:val="6E107790"/>
    <w:rsid w:val="75310AB1"/>
    <w:rsid w:val="76077F4C"/>
    <w:rsid w:val="77241441"/>
    <w:rsid w:val="7847671C"/>
    <w:rsid w:val="7AB567F9"/>
    <w:rsid w:val="7E010561"/>
    <w:rsid w:val="F77616D1"/>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pid="2" name="KSOProductBuildVer" fmtid="{D5CDD505-2E9C-101B-9397-08002B2CF9AE}">
    <vt:lpwstr xmlns:vt="http://schemas.openxmlformats.org/officeDocument/2006/docPropsVTypes">2052-12.8.2.18205</vt:lpwstr>
  </property>
  <property xmlns="http://schemas.openxmlformats.org/officeDocument/2006/custom-properties" pid="3" name="ICV" fmtid="{D5CDD505-2E9C-101B-9397-08002B2CF9AE}">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b30e75f0-b257-408d-9e58-a4fd952c5f0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273</Words>
  <Characters>581</Characters>
  <Lines>5</Lines>
  <Paragraphs>1</Paragraphs>
  <TotalTime>62</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2025-10-24T10:21:06Z</cp:lastPrinted>
  <dcterms:modified xsi:type="dcterms:W3CDTF">2025-10-24T10:22:07Z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